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rPr>
      </w:pPr>
      <w:r>
        <w:rPr>
          <w:rFonts w:hint="eastAsia" w:ascii="黑体" w:hAnsi="黑体" w:eastAsia="黑体" w:cs="Times New Roman"/>
          <w:sz w:val="32"/>
          <w:szCs w:val="32"/>
        </w:rPr>
        <w:t>附件1</w:t>
      </w:r>
      <w:bookmarkStart w:id="0" w:name="_GoBack"/>
      <w:bookmarkEnd w:id="0"/>
    </w:p>
    <w:p>
      <w:pPr>
        <w:jc w:val="center"/>
        <w:rPr>
          <w:rFonts w:hint="eastAsia" w:ascii="黑体" w:hAnsi="黑体" w:eastAsia="黑体" w:cs="Times New Roman"/>
          <w:sz w:val="44"/>
          <w:szCs w:val="44"/>
        </w:rPr>
      </w:pPr>
      <w:r>
        <w:rPr>
          <w:rFonts w:hint="eastAsia" w:ascii="黑体" w:hAnsi="黑体" w:eastAsia="黑体" w:cs="Times New Roman"/>
          <w:sz w:val="44"/>
          <w:szCs w:val="44"/>
        </w:rPr>
        <w:t>天台县2024年公开招聘新教师岗位要求一览表</w:t>
      </w:r>
    </w:p>
    <w:p>
      <w:pPr>
        <w:rPr>
          <w:rFonts w:hint="eastAsia" w:eastAsia="宋体" w:cs="Times New Roman"/>
        </w:rPr>
      </w:pPr>
    </w:p>
    <w:tbl>
      <w:tblPr>
        <w:tblStyle w:val="4"/>
        <w:tblW w:w="1333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36"/>
        <w:gridCol w:w="446"/>
        <w:gridCol w:w="1300"/>
        <w:gridCol w:w="3350"/>
        <w:gridCol w:w="1620"/>
        <w:gridCol w:w="720"/>
        <w:gridCol w:w="27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478" w:type="dxa"/>
            <w:noWrap w:val="0"/>
            <w:vAlign w:val="center"/>
          </w:tcPr>
          <w:p>
            <w:pPr>
              <w:jc w:val="center"/>
              <w:rPr>
                <w:rFonts w:hint="eastAsia" w:ascii="仿宋_GB2312" w:eastAsia="仿宋_GB2312" w:cs="Times New Roman"/>
              </w:rPr>
            </w:pPr>
            <w:r>
              <w:rPr>
                <w:rFonts w:hint="eastAsia" w:ascii="仿宋_GB2312" w:eastAsia="仿宋_GB2312" w:cs="Times New Roman"/>
              </w:rPr>
              <w:t>序</w:t>
            </w:r>
          </w:p>
          <w:p>
            <w:pPr>
              <w:jc w:val="center"/>
              <w:rPr>
                <w:rFonts w:hint="eastAsia" w:ascii="仿宋_GB2312" w:eastAsia="仿宋_GB2312" w:cs="Times New Roman"/>
              </w:rPr>
            </w:pPr>
            <w:r>
              <w:rPr>
                <w:rFonts w:hint="eastAsia" w:ascii="仿宋_GB2312" w:eastAsia="仿宋_GB2312" w:cs="Times New Roman"/>
              </w:rPr>
              <w:t>号</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岗位</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指</w:t>
            </w:r>
          </w:p>
          <w:p>
            <w:pPr>
              <w:jc w:val="center"/>
              <w:rPr>
                <w:rFonts w:hint="eastAsia" w:ascii="仿宋_GB2312" w:eastAsia="仿宋_GB2312" w:cs="Times New Roman"/>
              </w:rPr>
            </w:pPr>
            <w:r>
              <w:rPr>
                <w:rFonts w:hint="eastAsia" w:ascii="仿宋_GB2312" w:eastAsia="仿宋_GB2312" w:cs="Times New Roman"/>
              </w:rPr>
              <w:t>标</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人员</w:t>
            </w:r>
          </w:p>
          <w:p>
            <w:pPr>
              <w:jc w:val="center"/>
              <w:rPr>
                <w:rFonts w:hint="eastAsia" w:ascii="仿宋_GB2312" w:eastAsia="仿宋_GB2312" w:cs="Times New Roman"/>
              </w:rPr>
            </w:pPr>
            <w:r>
              <w:rPr>
                <w:rFonts w:hint="eastAsia" w:ascii="仿宋_GB2312" w:eastAsia="仿宋_GB2312" w:cs="Times New Roman"/>
              </w:rPr>
              <w:t>类别</w:t>
            </w:r>
          </w:p>
        </w:tc>
        <w:tc>
          <w:tcPr>
            <w:tcW w:w="5690" w:type="dxa"/>
            <w:gridSpan w:val="3"/>
            <w:noWrap w:val="0"/>
            <w:vAlign w:val="center"/>
          </w:tcPr>
          <w:p>
            <w:pPr>
              <w:jc w:val="center"/>
              <w:rPr>
                <w:rFonts w:hint="eastAsia" w:ascii="仿宋_GB2312" w:eastAsia="仿宋_GB2312" w:cs="Times New Roman"/>
              </w:rPr>
            </w:pPr>
            <w:r>
              <w:rPr>
                <w:rFonts w:hint="eastAsia" w:ascii="仿宋_GB2312" w:eastAsia="仿宋_GB2312" w:cs="Times New Roman"/>
              </w:rPr>
              <w:t>专业要求</w:t>
            </w:r>
          </w:p>
        </w:tc>
        <w:tc>
          <w:tcPr>
            <w:tcW w:w="2700" w:type="dxa"/>
            <w:noWrap w:val="0"/>
            <w:vAlign w:val="center"/>
          </w:tcPr>
          <w:p>
            <w:pPr>
              <w:jc w:val="center"/>
              <w:rPr>
                <w:rFonts w:hint="eastAsia" w:ascii="仿宋_GB2312" w:eastAsia="仿宋_GB2312" w:cs="Times New Roman"/>
              </w:rPr>
            </w:pPr>
            <w:r>
              <w:rPr>
                <w:rFonts w:hint="eastAsia" w:ascii="仿宋_GB2312" w:eastAsia="仿宋_GB2312" w:cs="Times New Roman"/>
              </w:rPr>
              <w:t>学历学位要求</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年龄要求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1</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高中政治</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思想政治教育、政治学与行政学、国际政治、国际政治经济学、政治学经济学与哲学、哲学、政治学理论、政治经济学、马克思主义理论、法学等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2</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高中历史</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人文教育、历史教育、历史学、世界历史、中国古代史、中国近现代史、史学理论与史学史等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3</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高中语文A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restart"/>
            <w:noWrap w:val="0"/>
            <w:vAlign w:val="center"/>
          </w:tcPr>
          <w:p>
            <w:pPr>
              <w:rPr>
                <w:rFonts w:hint="eastAsia" w:ascii="仿宋_GB2312" w:eastAsia="仿宋_GB2312" w:cs="Times New Roman"/>
              </w:rPr>
            </w:pPr>
            <w:r>
              <w:rPr>
                <w:rFonts w:hint="eastAsia" w:ascii="仿宋_GB2312" w:eastAsia="仿宋_GB2312" w:cs="Times New Roman"/>
              </w:rPr>
              <w:t>语文教育、汉语言文学、汉语言、对外汉语、汉语国际教育、汉语言文字学、中国古代文学、中国现当代文学、文秘等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vMerge w:val="restart"/>
            <w:noWrap w:val="0"/>
            <w:vAlign w:val="center"/>
          </w:tcPr>
          <w:p>
            <w:pPr>
              <w:jc w:val="center"/>
              <w:rPr>
                <w:rFonts w:eastAsia="宋体"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高中语文B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2</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具有研究生及以上学历、硕士以上学位</w:t>
            </w:r>
          </w:p>
        </w:tc>
        <w:tc>
          <w:tcPr>
            <w:tcW w:w="1080" w:type="dxa"/>
            <w:vMerge w:val="continue"/>
            <w:noWrap w:val="0"/>
            <w:vAlign w:val="top"/>
          </w:tcPr>
          <w:p>
            <w:pPr>
              <w:rPr>
                <w:rFonts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4</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高中数学A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restart"/>
            <w:noWrap w:val="0"/>
            <w:vAlign w:val="center"/>
          </w:tcPr>
          <w:p>
            <w:pPr>
              <w:rPr>
                <w:rFonts w:hint="eastAsia" w:ascii="仿宋_GB2312" w:eastAsia="仿宋_GB2312" w:cs="Times New Roman"/>
              </w:rPr>
            </w:pPr>
            <w:r>
              <w:rPr>
                <w:rFonts w:hint="eastAsia" w:ascii="仿宋_GB2312" w:eastAsia="仿宋_GB2312" w:cs="Times New Roman"/>
              </w:rPr>
              <w:t>数学教育、数学、数学与应用数学、数理基础科学、基础数学、计算数学、应用数学、 概率论与数理统计、信息与计算科学等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0"/>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高中数学B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2</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具有研究生及以上学历、硕士以上学位</w:t>
            </w: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5</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高中英语A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restart"/>
            <w:noWrap w:val="0"/>
            <w:vAlign w:val="center"/>
          </w:tcPr>
          <w:p>
            <w:pPr>
              <w:rPr>
                <w:rFonts w:hint="eastAsia" w:ascii="仿宋_GB2312" w:eastAsia="仿宋_GB2312" w:cs="Times New Roman"/>
              </w:rPr>
            </w:pPr>
            <w:r>
              <w:rPr>
                <w:rFonts w:hint="eastAsia" w:ascii="仿宋_GB2312" w:eastAsia="仿宋_GB2312" w:cs="Times New Roman"/>
              </w:rPr>
              <w:t>英语教育、英语、英语翻译、翻译、英语语言文学、应用英语、商务英语、涉外文秘等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高中英语B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具有研究生及以上学历、硕士以上学位</w:t>
            </w: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6</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高中物理A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restart"/>
            <w:noWrap w:val="0"/>
            <w:vAlign w:val="center"/>
          </w:tcPr>
          <w:p>
            <w:pPr>
              <w:rPr>
                <w:rFonts w:hint="eastAsia" w:ascii="仿宋_GB2312" w:eastAsia="仿宋_GB2312" w:cs="Times New Roman"/>
              </w:rPr>
            </w:pPr>
            <w:r>
              <w:rPr>
                <w:rFonts w:hint="eastAsia" w:ascii="仿宋_GB2312" w:eastAsia="仿宋_GB2312" w:cs="Times New Roman"/>
              </w:rPr>
              <w:t>物理教育、物理学、应用物理、核物理、理论物理等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高中物理B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具有研究生及以上学历、硕士以上学位</w:t>
            </w: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7</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初中语文</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语文教育、汉语言文学、汉语言、对外汉语、汉语国际教育、汉语言文字学、中国古代文学、中国现当代文学、文秘等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8</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初中科学</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科学教育、物理教育、物理学、应用物理、核物理、理论物理、化学教育、化学、应用化学、材料化学、化学生物学、有机化学、无机化学、分析化学、高分子化学、生物教育、生物技术、生物科学、生物工程、植物学、植物保护、动物学、微生物学、生物化学与分子生物学、生物技术及应用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9</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中小学体育(足球教练员)</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restart"/>
            <w:noWrap w:val="0"/>
            <w:vAlign w:val="center"/>
          </w:tcPr>
          <w:p>
            <w:pPr>
              <w:rPr>
                <w:rFonts w:hint="eastAsia" w:ascii="仿宋_GB2312" w:eastAsia="仿宋_GB2312" w:cs="Times New Roman"/>
              </w:rPr>
            </w:pPr>
            <w:r>
              <w:rPr>
                <w:rFonts w:hint="eastAsia" w:ascii="仿宋_GB2312" w:eastAsia="仿宋_GB2312" w:cs="Times New Roman"/>
              </w:rPr>
              <w:t>体育教育、体育学、运动训练、社会体育、民族传统体育、武术与民族传统体育等</w:t>
            </w:r>
          </w:p>
        </w:tc>
        <w:tc>
          <w:tcPr>
            <w:tcW w:w="2700" w:type="dxa"/>
            <w:vMerge w:val="restart"/>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0"/>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中小学体育（篮球教练员）</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vMerge w:val="continue"/>
            <w:noWrap w:val="0"/>
            <w:vAlign w:val="center"/>
          </w:tcPr>
          <w:p>
            <w:pPr>
              <w:rPr>
                <w:rFonts w:hint="eastAsia" w:ascii="仿宋_GB2312" w:eastAsia="仿宋_GB2312" w:cs="Times New Roman"/>
              </w:rPr>
            </w:pP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0"/>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中小学体育（游泳教练员）</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vMerge w:val="continue"/>
            <w:noWrap w:val="0"/>
            <w:vAlign w:val="center"/>
          </w:tcPr>
          <w:p>
            <w:pPr>
              <w:rPr>
                <w:rFonts w:hint="eastAsia" w:ascii="仿宋_GB2312" w:eastAsia="仿宋_GB2312" w:cs="Times New Roman"/>
              </w:rPr>
            </w:pP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0"/>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体育特殊人才（教练员）</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8390" w:type="dxa"/>
            <w:gridSpan w:val="4"/>
            <w:noWrap w:val="0"/>
            <w:vAlign w:val="center"/>
          </w:tcPr>
          <w:p>
            <w:pPr>
              <w:rPr>
                <w:rFonts w:hint="eastAsia" w:ascii="仿宋_GB2312" w:eastAsia="仿宋_GB2312" w:cs="Times New Roman"/>
              </w:rPr>
            </w:pPr>
            <w:r>
              <w:rPr>
                <w:rFonts w:hint="eastAsia" w:ascii="仿宋_GB2312" w:eastAsia="仿宋_GB2312" w:cs="Times New Roman"/>
              </w:rPr>
              <w:t>按《关于进一步加强竞技体育后备人才培养工作的意见》（天政办发[2014]144号）文件要求</w:t>
            </w: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10</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中小学音乐</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2</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音乐教育、音乐学、音乐表演、作曲与作曲技术理论、艺术教育、舞蹈表演、音乐与舞蹈学、舞蹈学、舞蹈编导等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11</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中小学美术</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2</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美术教育、美术学、绘画、雕塑、工业设计、中国画、书法学、摄影、艺术设计学、艺术设计、环境设计、环境艺术设计、视觉传达设计、工艺美术、动画、装饰艺术设计、服装与服饰设计、旅游工艺品设计与制作、广告设计与制作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12</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中小学信息技术</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2</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教育技术学、现代教育技术、计算机科学与技术、软件工程、网络工程、数字媒体技术、计算机及应用、计算机应用技术、计算机软件与理论、计算机信息管理、计算机教育、计算机网络技术、软件技术、电子信息工程、应用电子技术教育、信息管理与信息系统、电子信息技术与应用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13</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中小学心理健康</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心理学、应用心理学、基础心理学、发展与教育心理学、教育学等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14</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小学语文</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语文教育、汉语言文学、汉语言、对外汉语、汉语国际教育、汉语言文字学、中国古代文学、中国现当代文学、文秘等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15</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小学数学</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数学教育、数学、数学与应用数学、数理基础科学、基础数学、计算数学、应用数学、 概率论与数理统计、信息与计算科学等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16</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小学英语A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2</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restart"/>
            <w:noWrap w:val="0"/>
            <w:vAlign w:val="center"/>
          </w:tcPr>
          <w:p>
            <w:pPr>
              <w:rPr>
                <w:rFonts w:hint="eastAsia" w:ascii="仿宋_GB2312" w:eastAsia="仿宋_GB2312" w:cs="Times New Roman"/>
              </w:rPr>
            </w:pPr>
            <w:r>
              <w:rPr>
                <w:rFonts w:hint="eastAsia" w:ascii="仿宋_GB2312" w:eastAsia="仿宋_GB2312" w:cs="Times New Roman"/>
              </w:rPr>
              <w:t>英语教育、英语、英语翻译、翻译、英语语言文学、应用英语、商务英语、涉外文秘等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0"/>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小学英语B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具有研究生及以上学历、硕士以上学位</w:t>
            </w: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17</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小学科学A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restart"/>
            <w:noWrap w:val="0"/>
            <w:vAlign w:val="center"/>
          </w:tcPr>
          <w:p>
            <w:pPr>
              <w:rPr>
                <w:rFonts w:hint="eastAsia" w:ascii="仿宋_GB2312" w:eastAsia="仿宋_GB2312" w:cs="Times New Roman"/>
              </w:rPr>
            </w:pPr>
            <w:r>
              <w:rPr>
                <w:rFonts w:hint="eastAsia" w:ascii="仿宋_GB2312" w:eastAsia="仿宋_GB2312" w:cs="Times New Roman"/>
              </w:rPr>
              <w:t>科学教育、物理教育、物理学、应用物理、核物理、理论物理、化学教育、化学、应用化学、材料化学、化学生物学、有机化学、无机化学、分析化学、高分子化学、生物教育、生物技术、生物科学、生物工程、植物学、植物保护、动物学、微生物学、生物化学与分子生物学、生物技术及应用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78" w:type="dxa"/>
            <w:vMerge w:val="continue"/>
            <w:noWrap/>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小学科学B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具有研究生及以上学历、硕士以上学位</w:t>
            </w: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18</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特殊教育A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restart"/>
            <w:noWrap w:val="0"/>
            <w:vAlign w:val="center"/>
          </w:tcPr>
          <w:p>
            <w:pPr>
              <w:rPr>
                <w:rFonts w:hint="eastAsia" w:ascii="仿宋_GB2312" w:eastAsia="仿宋_GB2312" w:cs="Times New Roman"/>
              </w:rPr>
            </w:pPr>
            <w:r>
              <w:rPr>
                <w:rFonts w:hint="eastAsia" w:ascii="仿宋_GB2312" w:eastAsia="仿宋_GB2312" w:cs="Times New Roman"/>
              </w:rPr>
              <w:t>特殊教育、儿童康复、医疗康复等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vMerge w:val="continue"/>
            <w:noWrap w:val="0"/>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特殊教育B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vMerge w:val="continue"/>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具有研究生及以上学历、硕士以上学位</w:t>
            </w: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29</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学前教育</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学前教育、幼儿教育、幼儿发展与健康管理及符合中小学体育、音乐、美术招聘岗位专业要求等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20</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中职艺术设计</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环境艺术设计、视觉传达设计、工业设计、产品设计、工艺美术、动画、美术学、艺术设计学、设计学等</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21</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中职护理</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全额事业</w:t>
            </w:r>
          </w:p>
        </w:tc>
        <w:tc>
          <w:tcPr>
            <w:tcW w:w="5690" w:type="dxa"/>
            <w:gridSpan w:val="3"/>
            <w:noWrap w:val="0"/>
            <w:vAlign w:val="center"/>
          </w:tcPr>
          <w:p>
            <w:pPr>
              <w:jc w:val="center"/>
              <w:rPr>
                <w:rFonts w:hint="eastAsia" w:ascii="仿宋_GB2312" w:eastAsia="仿宋_GB2312" w:cs="Times New Roman"/>
              </w:rPr>
            </w:pPr>
            <w:r>
              <w:rPr>
                <w:rFonts w:hint="eastAsia" w:ascii="仿宋_GB2312" w:eastAsia="仿宋_GB2312" w:cs="Times New Roman"/>
              </w:rPr>
              <w:t>护理学类</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具有本科及以上学历、学士学位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14" w:type="dxa"/>
            <w:gridSpan w:val="2"/>
            <w:noWrap/>
            <w:vAlign w:val="center"/>
          </w:tcPr>
          <w:p>
            <w:pPr>
              <w:jc w:val="center"/>
              <w:rPr>
                <w:rFonts w:hint="eastAsia" w:ascii="仿宋_GB2312" w:eastAsia="仿宋_GB2312" w:cs="Times New Roman"/>
              </w:rPr>
            </w:pPr>
            <w:r>
              <w:rPr>
                <w:rFonts w:hint="eastAsia" w:ascii="仿宋_GB2312" w:eastAsia="仿宋_GB2312" w:cs="Times New Roman"/>
              </w:rPr>
              <w:t>合计</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37</w:t>
            </w:r>
          </w:p>
        </w:tc>
        <w:tc>
          <w:tcPr>
            <w:tcW w:w="1300" w:type="dxa"/>
            <w:noWrap w:val="0"/>
            <w:vAlign w:val="center"/>
          </w:tcPr>
          <w:p>
            <w:pPr>
              <w:jc w:val="center"/>
              <w:rPr>
                <w:rFonts w:hint="eastAsia" w:ascii="仿宋_GB2312" w:eastAsia="仿宋_GB2312" w:cs="Times New Roman"/>
              </w:rPr>
            </w:pPr>
          </w:p>
        </w:tc>
        <w:tc>
          <w:tcPr>
            <w:tcW w:w="5690" w:type="dxa"/>
            <w:gridSpan w:val="3"/>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p>
        </w:tc>
        <w:tc>
          <w:tcPr>
            <w:tcW w:w="1080" w:type="dxa"/>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78" w:type="dxa"/>
            <w:noWrap w:val="0"/>
            <w:vAlign w:val="center"/>
          </w:tcPr>
          <w:p>
            <w:pPr>
              <w:jc w:val="center"/>
              <w:rPr>
                <w:rFonts w:hint="eastAsia" w:ascii="仿宋_GB2312" w:eastAsia="仿宋_GB2312" w:cs="Times New Roman"/>
              </w:rPr>
            </w:pPr>
            <w:r>
              <w:rPr>
                <w:rFonts w:hint="eastAsia" w:ascii="仿宋_GB2312" w:eastAsia="仿宋_GB2312" w:cs="Times New Roman"/>
              </w:rPr>
              <w:t>22</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设计</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报备员额制</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设计学、设计管理、工业设计、产品设计、视觉传达设计、新媒体艺术</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23</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护理A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报备员额制</w:t>
            </w:r>
          </w:p>
        </w:tc>
        <w:tc>
          <w:tcPr>
            <w:tcW w:w="5690" w:type="dxa"/>
            <w:gridSpan w:val="3"/>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护理学类</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具有本科及以上学历</w:t>
            </w:r>
          </w:p>
        </w:tc>
        <w:tc>
          <w:tcPr>
            <w:tcW w:w="108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30周岁及以下（具有中级职称者，年龄可放宽到35周岁）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78" w:type="dxa"/>
            <w:vMerge w:val="continue"/>
            <w:noWrap/>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护理B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报备员额制</w:t>
            </w:r>
          </w:p>
        </w:tc>
        <w:tc>
          <w:tcPr>
            <w:tcW w:w="5690" w:type="dxa"/>
            <w:gridSpan w:val="3"/>
            <w:vMerge w:val="continue"/>
            <w:noWrap w:val="0"/>
            <w:vAlign w:val="center"/>
          </w:tcPr>
          <w:p>
            <w:pPr>
              <w:rPr>
                <w:rFonts w:hint="eastAsia" w:ascii="仿宋_GB2312" w:eastAsia="仿宋_GB2312" w:cs="Times New Roman"/>
              </w:rPr>
            </w:pP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具有研究生学历、硕士及以上学位</w:t>
            </w:r>
          </w:p>
        </w:tc>
        <w:tc>
          <w:tcPr>
            <w:tcW w:w="1080" w:type="dxa"/>
            <w:vMerge w:val="continue"/>
            <w:noWrap w:val="0"/>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8" w:type="dxa"/>
            <w:noWrap/>
            <w:vAlign w:val="center"/>
          </w:tcPr>
          <w:p>
            <w:pPr>
              <w:jc w:val="center"/>
              <w:rPr>
                <w:rFonts w:hint="eastAsia" w:ascii="仿宋_GB2312" w:eastAsia="仿宋_GB2312" w:cs="Times New Roman"/>
              </w:rPr>
            </w:pPr>
            <w:r>
              <w:rPr>
                <w:rFonts w:hint="eastAsia" w:ascii="仿宋_GB2312" w:eastAsia="仿宋_GB2312" w:cs="Times New Roman"/>
              </w:rPr>
              <w:t>24</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心理健康</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报备员额制</w:t>
            </w:r>
          </w:p>
        </w:tc>
        <w:tc>
          <w:tcPr>
            <w:tcW w:w="5690" w:type="dxa"/>
            <w:gridSpan w:val="3"/>
            <w:noWrap w:val="0"/>
            <w:vAlign w:val="center"/>
          </w:tcPr>
          <w:p>
            <w:pPr>
              <w:rPr>
                <w:rFonts w:hint="eastAsia" w:ascii="仿宋_GB2312" w:eastAsia="仿宋_GB2312" w:cs="Times New Roman"/>
              </w:rPr>
            </w:pPr>
            <w:r>
              <w:rPr>
                <w:rFonts w:hint="eastAsia" w:ascii="仿宋_GB2312" w:eastAsia="仿宋_GB2312" w:cs="Times New Roman"/>
              </w:rPr>
              <w:t>心理学类、教育心理学、心理教育、心理健康教育</w:t>
            </w:r>
          </w:p>
        </w:tc>
        <w:tc>
          <w:tcPr>
            <w:tcW w:w="2700" w:type="dxa"/>
            <w:noWrap w:val="0"/>
            <w:vAlign w:val="center"/>
          </w:tcPr>
          <w:p>
            <w:pPr>
              <w:rPr>
                <w:rFonts w:hint="eastAsia" w:ascii="仿宋_GB2312" w:eastAsia="仿宋_GB2312" w:cs="Times New Roman"/>
              </w:rPr>
            </w:pPr>
            <w:r>
              <w:rPr>
                <w:rFonts w:hint="eastAsia" w:ascii="仿宋_GB2312" w:eastAsia="仿宋_GB2312" w:cs="Times New Roman"/>
              </w:rPr>
              <w:t>具有研究生学历、硕士及以上学位</w:t>
            </w:r>
          </w:p>
        </w:tc>
        <w:tc>
          <w:tcPr>
            <w:tcW w:w="1080" w:type="dxa"/>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14" w:type="dxa"/>
            <w:gridSpan w:val="2"/>
            <w:noWrap/>
            <w:vAlign w:val="center"/>
          </w:tcPr>
          <w:p>
            <w:pPr>
              <w:jc w:val="center"/>
              <w:rPr>
                <w:rFonts w:hint="eastAsia" w:ascii="仿宋_GB2312" w:eastAsia="仿宋_GB2312" w:cs="Times New Roman"/>
              </w:rPr>
            </w:pPr>
            <w:r>
              <w:rPr>
                <w:rFonts w:hint="eastAsia" w:ascii="仿宋_GB2312" w:eastAsia="仿宋_GB2312" w:cs="Times New Roman"/>
              </w:rPr>
              <w:t>合计</w:t>
            </w:r>
          </w:p>
        </w:tc>
        <w:tc>
          <w:tcPr>
            <w:tcW w:w="446" w:type="dxa"/>
            <w:noWrap/>
            <w:vAlign w:val="center"/>
          </w:tcPr>
          <w:p>
            <w:pPr>
              <w:jc w:val="center"/>
              <w:rPr>
                <w:rFonts w:hint="eastAsia" w:ascii="仿宋_GB2312" w:eastAsia="仿宋_GB2312" w:cs="Times New Roman"/>
              </w:rPr>
            </w:pPr>
            <w:r>
              <w:rPr>
                <w:rFonts w:hint="eastAsia" w:ascii="仿宋_GB2312" w:eastAsia="仿宋_GB2312" w:cs="Times New Roman"/>
              </w:rPr>
              <w:t>4</w:t>
            </w:r>
          </w:p>
        </w:tc>
        <w:tc>
          <w:tcPr>
            <w:tcW w:w="1300" w:type="dxa"/>
            <w:noWrap/>
            <w:vAlign w:val="center"/>
          </w:tcPr>
          <w:p>
            <w:pPr>
              <w:jc w:val="center"/>
              <w:rPr>
                <w:rFonts w:hint="eastAsia" w:ascii="仿宋_GB2312" w:eastAsia="仿宋_GB2312" w:cs="Times New Roman"/>
              </w:rPr>
            </w:pPr>
          </w:p>
        </w:tc>
        <w:tc>
          <w:tcPr>
            <w:tcW w:w="5690" w:type="dxa"/>
            <w:gridSpan w:val="3"/>
            <w:noWrap/>
            <w:vAlign w:val="center"/>
          </w:tcPr>
          <w:p>
            <w:pPr>
              <w:rPr>
                <w:rFonts w:hint="eastAsia" w:ascii="仿宋_GB2312" w:eastAsia="仿宋_GB2312" w:cs="Times New Roman"/>
              </w:rPr>
            </w:pPr>
          </w:p>
        </w:tc>
        <w:tc>
          <w:tcPr>
            <w:tcW w:w="2700" w:type="dxa"/>
            <w:noWrap/>
            <w:vAlign w:val="center"/>
          </w:tcPr>
          <w:p>
            <w:pPr>
              <w:rPr>
                <w:rFonts w:hint="eastAsia" w:ascii="仿宋_GB2312" w:eastAsia="仿宋_GB2312" w:cs="Times New Roman"/>
              </w:rPr>
            </w:pPr>
          </w:p>
        </w:tc>
        <w:tc>
          <w:tcPr>
            <w:tcW w:w="1080" w:type="dxa"/>
            <w:noWrap/>
            <w:vAlign w:val="center"/>
          </w:tcPr>
          <w:p>
            <w:pPr>
              <w:jc w:val="center"/>
              <w:rPr>
                <w:rFonts w:hint="eastAsia"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478" w:type="dxa"/>
            <w:noWrap w:val="0"/>
            <w:vAlign w:val="center"/>
          </w:tcPr>
          <w:p>
            <w:pPr>
              <w:jc w:val="center"/>
              <w:rPr>
                <w:rFonts w:hint="eastAsia" w:ascii="仿宋_GB2312" w:eastAsia="仿宋_GB2312" w:cs="Times New Roman"/>
              </w:rPr>
            </w:pPr>
            <w:r>
              <w:rPr>
                <w:rFonts w:hint="eastAsia" w:ascii="仿宋_GB2312" w:eastAsia="仿宋_GB2312" w:cs="Times New Roman"/>
              </w:rPr>
              <w:t>序</w:t>
            </w:r>
          </w:p>
          <w:p>
            <w:pPr>
              <w:jc w:val="center"/>
              <w:rPr>
                <w:rFonts w:hint="eastAsia" w:ascii="仿宋_GB2312" w:eastAsia="仿宋_GB2312" w:cs="Times New Roman"/>
              </w:rPr>
            </w:pPr>
            <w:r>
              <w:rPr>
                <w:rFonts w:hint="eastAsia" w:ascii="仿宋_GB2312" w:eastAsia="仿宋_GB2312" w:cs="Times New Roman"/>
              </w:rPr>
              <w:t>号</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岗位</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指</w:t>
            </w:r>
          </w:p>
          <w:p>
            <w:pPr>
              <w:jc w:val="center"/>
              <w:rPr>
                <w:rFonts w:hint="eastAsia" w:ascii="仿宋_GB2312" w:eastAsia="仿宋_GB2312" w:cs="Times New Roman"/>
              </w:rPr>
            </w:pPr>
            <w:r>
              <w:rPr>
                <w:rFonts w:hint="eastAsia" w:ascii="仿宋_GB2312" w:eastAsia="仿宋_GB2312" w:cs="Times New Roman"/>
              </w:rPr>
              <w:t>标</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人员</w:t>
            </w:r>
          </w:p>
          <w:p>
            <w:pPr>
              <w:jc w:val="center"/>
              <w:rPr>
                <w:rFonts w:hint="eastAsia" w:ascii="仿宋_GB2312" w:eastAsia="仿宋_GB2312" w:cs="Times New Roman"/>
              </w:rPr>
            </w:pPr>
            <w:r>
              <w:rPr>
                <w:rFonts w:hint="eastAsia" w:ascii="仿宋_GB2312" w:eastAsia="仿宋_GB2312" w:cs="Times New Roman"/>
              </w:rPr>
              <w:t>类别</w:t>
            </w:r>
          </w:p>
        </w:tc>
        <w:tc>
          <w:tcPr>
            <w:tcW w:w="3350" w:type="dxa"/>
            <w:noWrap w:val="0"/>
            <w:vAlign w:val="center"/>
          </w:tcPr>
          <w:p>
            <w:pPr>
              <w:jc w:val="center"/>
              <w:rPr>
                <w:rFonts w:hint="eastAsia" w:ascii="仿宋_GB2312" w:eastAsia="仿宋_GB2312" w:cs="Times New Roman"/>
              </w:rPr>
            </w:pPr>
            <w:r>
              <w:rPr>
                <w:rFonts w:hint="eastAsia" w:ascii="仿宋_GB2312" w:eastAsia="仿宋_GB2312" w:cs="Times New Roman"/>
              </w:rPr>
              <w:t>专业要求</w:t>
            </w:r>
          </w:p>
        </w:tc>
        <w:tc>
          <w:tcPr>
            <w:tcW w:w="1620" w:type="dxa"/>
            <w:noWrap w:val="0"/>
            <w:vAlign w:val="center"/>
          </w:tcPr>
          <w:p>
            <w:pPr>
              <w:jc w:val="center"/>
              <w:rPr>
                <w:rFonts w:hint="eastAsia" w:ascii="仿宋_GB2312" w:eastAsia="仿宋_GB2312" w:cs="Times New Roman"/>
              </w:rPr>
            </w:pPr>
            <w:r>
              <w:rPr>
                <w:rFonts w:hint="eastAsia" w:ascii="仿宋_GB2312" w:eastAsia="仿宋_GB2312" w:cs="Times New Roman"/>
              </w:rPr>
              <w:t>学历学位要求</w:t>
            </w:r>
          </w:p>
        </w:tc>
        <w:tc>
          <w:tcPr>
            <w:tcW w:w="720" w:type="dxa"/>
            <w:noWrap w:val="0"/>
            <w:vAlign w:val="center"/>
          </w:tcPr>
          <w:p>
            <w:pPr>
              <w:jc w:val="center"/>
              <w:rPr>
                <w:rFonts w:hint="eastAsia" w:ascii="仿宋_GB2312" w:eastAsia="仿宋_GB2312" w:cs="Times New Roman"/>
              </w:rPr>
            </w:pPr>
            <w:r>
              <w:rPr>
                <w:rFonts w:hint="eastAsia" w:ascii="仿宋_GB2312" w:eastAsia="仿宋_GB2312" w:cs="Times New Roman"/>
              </w:rPr>
              <w:t>年龄要求</w:t>
            </w:r>
          </w:p>
        </w:tc>
        <w:tc>
          <w:tcPr>
            <w:tcW w:w="3780" w:type="dxa"/>
            <w:gridSpan w:val="2"/>
            <w:noWrap w:val="0"/>
            <w:vAlign w:val="center"/>
          </w:tcPr>
          <w:p>
            <w:pPr>
              <w:jc w:val="center"/>
              <w:rPr>
                <w:rFonts w:hint="eastAsia" w:ascii="仿宋_GB2312" w:eastAsia="仿宋_GB2312" w:cs="Times New Roman"/>
              </w:rPr>
            </w:pPr>
            <w:r>
              <w:rPr>
                <w:rFonts w:hint="eastAsia" w:ascii="仿宋_GB2312" w:eastAsia="仿宋_GB2312" w:cs="Times New Roman"/>
              </w:rPr>
              <w:t>设岗学校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78" w:type="dxa"/>
            <w:vMerge w:val="restart"/>
            <w:noWrap/>
            <w:vAlign w:val="center"/>
          </w:tcPr>
          <w:p>
            <w:pPr>
              <w:jc w:val="center"/>
              <w:rPr>
                <w:rFonts w:hint="eastAsia" w:ascii="仿宋_GB2312" w:eastAsia="仿宋_GB2312" w:cs="Times New Roman"/>
              </w:rPr>
            </w:pPr>
            <w:r>
              <w:rPr>
                <w:rFonts w:hint="eastAsia" w:ascii="仿宋_GB2312" w:eastAsia="仿宋_GB2312" w:cs="Times New Roman"/>
              </w:rPr>
              <w:t>25</w:t>
            </w: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幼儿园劳动合同制A</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10</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劳动合同制</w:t>
            </w:r>
          </w:p>
        </w:tc>
        <w:tc>
          <w:tcPr>
            <w:tcW w:w="3350" w:type="dxa"/>
            <w:vMerge w:val="restart"/>
            <w:noWrap w:val="0"/>
            <w:vAlign w:val="center"/>
          </w:tcPr>
          <w:p>
            <w:pPr>
              <w:rPr>
                <w:rFonts w:hint="eastAsia" w:ascii="仿宋_GB2312" w:eastAsia="仿宋_GB2312" w:cs="Times New Roman"/>
              </w:rPr>
            </w:pPr>
            <w:r>
              <w:rPr>
                <w:rFonts w:hint="eastAsia" w:ascii="仿宋_GB2312" w:eastAsia="仿宋_GB2312" w:cs="Times New Roman"/>
              </w:rPr>
              <w:t>学前教育、幼儿教育、幼儿发展与健康管理及符合中小学体育、音乐、美术招聘岗位专业要求等</w:t>
            </w:r>
          </w:p>
        </w:tc>
        <w:tc>
          <w:tcPr>
            <w:tcW w:w="1620" w:type="dxa"/>
            <w:vMerge w:val="restart"/>
            <w:noWrap w:val="0"/>
            <w:vAlign w:val="center"/>
          </w:tcPr>
          <w:p>
            <w:pPr>
              <w:rPr>
                <w:rFonts w:hint="eastAsia" w:ascii="仿宋_GB2312" w:eastAsia="仿宋_GB2312" w:cs="Times New Roman"/>
              </w:rPr>
            </w:pPr>
            <w:r>
              <w:rPr>
                <w:rFonts w:hint="eastAsia" w:ascii="仿宋_GB2312" w:eastAsia="仿宋_GB2312" w:cs="Times New Roman"/>
              </w:rPr>
              <w:t>全日制专科及以上学历，或本科及以上学历</w:t>
            </w:r>
          </w:p>
        </w:tc>
        <w:tc>
          <w:tcPr>
            <w:tcW w:w="720" w:type="dxa"/>
            <w:vMerge w:val="restart"/>
            <w:noWrap w:val="0"/>
            <w:vAlign w:val="center"/>
          </w:tcPr>
          <w:p>
            <w:pPr>
              <w:jc w:val="center"/>
              <w:rPr>
                <w:rFonts w:hint="eastAsia" w:ascii="仿宋_GB2312" w:eastAsia="仿宋_GB2312" w:cs="Times New Roman"/>
              </w:rPr>
            </w:pPr>
            <w:r>
              <w:rPr>
                <w:rFonts w:hint="eastAsia" w:ascii="仿宋_GB2312" w:eastAsia="仿宋_GB2312" w:cs="Times New Roman"/>
              </w:rPr>
              <w:t>30周岁及以下</w:t>
            </w:r>
          </w:p>
        </w:tc>
        <w:tc>
          <w:tcPr>
            <w:tcW w:w="3780" w:type="dxa"/>
            <w:gridSpan w:val="2"/>
            <w:noWrap w:val="0"/>
            <w:vAlign w:val="center"/>
          </w:tcPr>
          <w:p>
            <w:pPr>
              <w:rPr>
                <w:rFonts w:hint="eastAsia" w:ascii="仿宋_GB2312" w:eastAsia="仿宋_GB2312" w:cs="Times New Roman"/>
              </w:rPr>
            </w:pPr>
            <w:r>
              <w:rPr>
                <w:rFonts w:hint="eastAsia" w:ascii="仿宋_GB2312" w:eastAsia="仿宋_GB2312" w:cs="Times New Roman"/>
              </w:rPr>
              <w:t>恩美幼教集团、赤城幼儿园、</w:t>
            </w:r>
          </w:p>
          <w:p>
            <w:pPr>
              <w:rPr>
                <w:rFonts w:hint="eastAsia" w:ascii="仿宋_GB2312" w:eastAsia="仿宋_GB2312" w:cs="Times New Roman"/>
              </w:rPr>
            </w:pPr>
            <w:r>
              <w:rPr>
                <w:rFonts w:hint="eastAsia" w:ascii="仿宋_GB2312" w:eastAsia="仿宋_GB2312" w:cs="Times New Roman"/>
              </w:rPr>
              <w:t>坦头幼儿园、洪畴幼儿园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78" w:type="dxa"/>
            <w:vMerge w:val="continue"/>
            <w:noWrap/>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幼儿园劳动合同制B</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10</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劳动合同制</w:t>
            </w:r>
          </w:p>
        </w:tc>
        <w:tc>
          <w:tcPr>
            <w:tcW w:w="3350" w:type="dxa"/>
            <w:vMerge w:val="continue"/>
            <w:noWrap w:val="0"/>
            <w:vAlign w:val="center"/>
          </w:tcPr>
          <w:p>
            <w:pPr>
              <w:rPr>
                <w:rFonts w:hint="eastAsia" w:ascii="仿宋_GB2312" w:eastAsia="仿宋_GB2312" w:cs="Times New Roman"/>
              </w:rPr>
            </w:pPr>
          </w:p>
        </w:tc>
        <w:tc>
          <w:tcPr>
            <w:tcW w:w="1620" w:type="dxa"/>
            <w:vMerge w:val="continue"/>
            <w:noWrap w:val="0"/>
            <w:vAlign w:val="center"/>
          </w:tcPr>
          <w:p>
            <w:pPr>
              <w:rPr>
                <w:rFonts w:hint="eastAsia" w:ascii="仿宋_GB2312" w:eastAsia="仿宋_GB2312" w:cs="Times New Roman"/>
              </w:rPr>
            </w:pPr>
          </w:p>
        </w:tc>
        <w:tc>
          <w:tcPr>
            <w:tcW w:w="720" w:type="dxa"/>
            <w:vMerge w:val="continue"/>
            <w:noWrap w:val="0"/>
            <w:vAlign w:val="center"/>
          </w:tcPr>
          <w:p>
            <w:pPr>
              <w:jc w:val="center"/>
              <w:rPr>
                <w:rFonts w:hint="eastAsia" w:ascii="仿宋_GB2312" w:eastAsia="仿宋_GB2312" w:cs="Times New Roman"/>
              </w:rPr>
            </w:pPr>
          </w:p>
        </w:tc>
        <w:tc>
          <w:tcPr>
            <w:tcW w:w="3780" w:type="dxa"/>
            <w:gridSpan w:val="2"/>
            <w:noWrap w:val="0"/>
            <w:vAlign w:val="center"/>
          </w:tcPr>
          <w:p>
            <w:pPr>
              <w:rPr>
                <w:rFonts w:hint="eastAsia" w:ascii="仿宋_GB2312" w:eastAsia="仿宋_GB2312" w:cs="Times New Roman"/>
              </w:rPr>
            </w:pPr>
            <w:r>
              <w:rPr>
                <w:rFonts w:hint="eastAsia" w:ascii="仿宋_GB2312" w:eastAsia="仿宋_GB2312" w:cs="Times New Roman"/>
              </w:rPr>
              <w:t>机关幼教集团、始丰幼儿园、</w:t>
            </w:r>
          </w:p>
          <w:p>
            <w:pPr>
              <w:rPr>
                <w:rFonts w:hint="eastAsia" w:ascii="仿宋_GB2312" w:eastAsia="仿宋_GB2312" w:cs="Times New Roman"/>
              </w:rPr>
            </w:pPr>
            <w:r>
              <w:rPr>
                <w:rFonts w:hint="eastAsia" w:ascii="仿宋_GB2312" w:eastAsia="仿宋_GB2312" w:cs="Times New Roman"/>
              </w:rPr>
              <w:t>白鹤幼儿园、三合幼儿园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8" w:type="dxa"/>
            <w:vMerge w:val="continue"/>
            <w:noWrap/>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幼儿园劳动合同制C</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10</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劳动合同制</w:t>
            </w:r>
          </w:p>
        </w:tc>
        <w:tc>
          <w:tcPr>
            <w:tcW w:w="3350" w:type="dxa"/>
            <w:vMerge w:val="continue"/>
            <w:noWrap w:val="0"/>
            <w:vAlign w:val="center"/>
          </w:tcPr>
          <w:p>
            <w:pPr>
              <w:rPr>
                <w:rFonts w:hint="eastAsia" w:ascii="仿宋_GB2312" w:eastAsia="仿宋_GB2312" w:cs="Times New Roman"/>
              </w:rPr>
            </w:pPr>
          </w:p>
        </w:tc>
        <w:tc>
          <w:tcPr>
            <w:tcW w:w="1620" w:type="dxa"/>
            <w:vMerge w:val="continue"/>
            <w:noWrap w:val="0"/>
            <w:vAlign w:val="center"/>
          </w:tcPr>
          <w:p>
            <w:pPr>
              <w:rPr>
                <w:rFonts w:hint="eastAsia" w:ascii="仿宋_GB2312" w:eastAsia="仿宋_GB2312" w:cs="Times New Roman"/>
              </w:rPr>
            </w:pPr>
          </w:p>
        </w:tc>
        <w:tc>
          <w:tcPr>
            <w:tcW w:w="720" w:type="dxa"/>
            <w:vMerge w:val="continue"/>
            <w:noWrap w:val="0"/>
            <w:vAlign w:val="center"/>
          </w:tcPr>
          <w:p>
            <w:pPr>
              <w:jc w:val="center"/>
              <w:rPr>
                <w:rFonts w:hint="eastAsia" w:ascii="仿宋_GB2312" w:eastAsia="仿宋_GB2312" w:cs="Times New Roman"/>
              </w:rPr>
            </w:pPr>
          </w:p>
        </w:tc>
        <w:tc>
          <w:tcPr>
            <w:tcW w:w="3780" w:type="dxa"/>
            <w:gridSpan w:val="2"/>
            <w:noWrap w:val="0"/>
            <w:vAlign w:val="center"/>
          </w:tcPr>
          <w:p>
            <w:pPr>
              <w:rPr>
                <w:rFonts w:hint="eastAsia" w:ascii="仿宋_GB2312" w:eastAsia="仿宋_GB2312" w:cs="Times New Roman"/>
              </w:rPr>
            </w:pPr>
            <w:r>
              <w:rPr>
                <w:rFonts w:hint="eastAsia" w:ascii="仿宋_GB2312" w:eastAsia="仿宋_GB2312" w:cs="Times New Roman"/>
              </w:rPr>
              <w:t>实验幼教集团、福溪幼儿园、</w:t>
            </w:r>
          </w:p>
          <w:p>
            <w:pPr>
              <w:rPr>
                <w:rFonts w:hint="eastAsia" w:ascii="仿宋_GB2312" w:eastAsia="仿宋_GB2312" w:cs="Times New Roman"/>
              </w:rPr>
            </w:pPr>
            <w:r>
              <w:rPr>
                <w:rFonts w:hint="eastAsia" w:ascii="仿宋_GB2312" w:eastAsia="仿宋_GB2312" w:cs="Times New Roman"/>
              </w:rPr>
              <w:t>平桥幼儿园、街头幼儿园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78" w:type="dxa"/>
            <w:vMerge w:val="continue"/>
            <w:noWrap w:val="0"/>
            <w:vAlign w:val="center"/>
          </w:tcPr>
          <w:p>
            <w:pPr>
              <w:jc w:val="center"/>
              <w:rPr>
                <w:rFonts w:hint="eastAsia" w:ascii="仿宋_GB2312" w:eastAsia="仿宋_GB2312" w:cs="Times New Roman"/>
              </w:rPr>
            </w:pPr>
          </w:p>
        </w:tc>
        <w:tc>
          <w:tcPr>
            <w:tcW w:w="1636" w:type="dxa"/>
            <w:noWrap w:val="0"/>
            <w:vAlign w:val="center"/>
          </w:tcPr>
          <w:p>
            <w:pPr>
              <w:jc w:val="center"/>
              <w:rPr>
                <w:rFonts w:hint="eastAsia" w:ascii="仿宋_GB2312" w:eastAsia="仿宋_GB2312" w:cs="Times New Roman"/>
              </w:rPr>
            </w:pPr>
            <w:r>
              <w:rPr>
                <w:rFonts w:hint="eastAsia" w:ascii="仿宋_GB2312" w:eastAsia="仿宋_GB2312" w:cs="Times New Roman"/>
              </w:rPr>
              <w:t>幼儿园劳动合同制D</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10</w:t>
            </w:r>
          </w:p>
        </w:tc>
        <w:tc>
          <w:tcPr>
            <w:tcW w:w="1300" w:type="dxa"/>
            <w:noWrap w:val="0"/>
            <w:vAlign w:val="center"/>
          </w:tcPr>
          <w:p>
            <w:pPr>
              <w:jc w:val="center"/>
              <w:rPr>
                <w:rFonts w:hint="eastAsia" w:ascii="仿宋_GB2312" w:eastAsia="仿宋_GB2312" w:cs="Times New Roman"/>
              </w:rPr>
            </w:pPr>
            <w:r>
              <w:rPr>
                <w:rFonts w:hint="eastAsia" w:ascii="仿宋_GB2312" w:eastAsia="仿宋_GB2312" w:cs="Times New Roman"/>
              </w:rPr>
              <w:t>劳动合同制</w:t>
            </w:r>
          </w:p>
        </w:tc>
        <w:tc>
          <w:tcPr>
            <w:tcW w:w="4970" w:type="dxa"/>
            <w:gridSpan w:val="2"/>
            <w:noWrap w:val="0"/>
            <w:vAlign w:val="center"/>
          </w:tcPr>
          <w:p>
            <w:pPr>
              <w:rPr>
                <w:rFonts w:hint="eastAsia" w:ascii="仿宋_GB2312" w:eastAsia="仿宋_GB2312" w:cs="Times New Roman"/>
              </w:rPr>
            </w:pPr>
            <w:r>
              <w:rPr>
                <w:rFonts w:hint="eastAsia" w:ascii="仿宋_GB2312" w:eastAsia="仿宋_GB2312" w:cs="Times New Roman"/>
              </w:rPr>
              <w:t>仅面向目前仍在我县公、民办幼儿园工作的雇员制教师，专业和学历要求与A、B、C岗相同。</w:t>
            </w:r>
          </w:p>
        </w:tc>
        <w:tc>
          <w:tcPr>
            <w:tcW w:w="720" w:type="dxa"/>
            <w:noWrap w:val="0"/>
            <w:vAlign w:val="center"/>
          </w:tcPr>
          <w:p>
            <w:pPr>
              <w:jc w:val="center"/>
              <w:rPr>
                <w:rFonts w:hint="eastAsia" w:ascii="仿宋_GB2312" w:eastAsia="仿宋_GB2312" w:cs="Times New Roman"/>
              </w:rPr>
            </w:pPr>
            <w:r>
              <w:rPr>
                <w:rFonts w:hint="eastAsia" w:ascii="仿宋_GB2312" w:eastAsia="仿宋_GB2312" w:cs="Times New Roman"/>
              </w:rPr>
              <w:t>40周岁及以下</w:t>
            </w:r>
          </w:p>
        </w:tc>
        <w:tc>
          <w:tcPr>
            <w:tcW w:w="3780" w:type="dxa"/>
            <w:gridSpan w:val="2"/>
            <w:noWrap w:val="0"/>
            <w:vAlign w:val="center"/>
          </w:tcPr>
          <w:p>
            <w:pPr>
              <w:rPr>
                <w:rFonts w:hint="eastAsia" w:ascii="仿宋_GB2312" w:eastAsia="仿宋_GB2312" w:cs="Times New Roman"/>
              </w:rPr>
            </w:pPr>
            <w:r>
              <w:rPr>
                <w:rFonts w:hint="eastAsia" w:ascii="仿宋_GB2312" w:eastAsia="仿宋_GB2312" w:cs="Times New Roman"/>
              </w:rPr>
              <w:t>城区幼儿园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14" w:type="dxa"/>
            <w:gridSpan w:val="2"/>
            <w:noWrap/>
            <w:vAlign w:val="center"/>
          </w:tcPr>
          <w:p>
            <w:pPr>
              <w:jc w:val="center"/>
              <w:rPr>
                <w:rFonts w:hint="eastAsia" w:ascii="仿宋_GB2312" w:eastAsia="仿宋_GB2312" w:cs="Times New Roman"/>
              </w:rPr>
            </w:pPr>
            <w:r>
              <w:rPr>
                <w:rFonts w:hint="eastAsia" w:ascii="仿宋_GB2312" w:eastAsia="仿宋_GB2312" w:cs="Times New Roman"/>
              </w:rPr>
              <w:t>合计</w:t>
            </w:r>
          </w:p>
        </w:tc>
        <w:tc>
          <w:tcPr>
            <w:tcW w:w="446" w:type="dxa"/>
            <w:noWrap w:val="0"/>
            <w:vAlign w:val="center"/>
          </w:tcPr>
          <w:p>
            <w:pPr>
              <w:jc w:val="center"/>
              <w:rPr>
                <w:rFonts w:hint="eastAsia" w:ascii="仿宋_GB2312" w:eastAsia="仿宋_GB2312" w:cs="Times New Roman"/>
              </w:rPr>
            </w:pPr>
            <w:r>
              <w:rPr>
                <w:rFonts w:hint="eastAsia" w:ascii="仿宋_GB2312" w:eastAsia="仿宋_GB2312" w:cs="Times New Roman"/>
              </w:rPr>
              <w:t>40</w:t>
            </w:r>
          </w:p>
        </w:tc>
        <w:tc>
          <w:tcPr>
            <w:tcW w:w="10770" w:type="dxa"/>
            <w:gridSpan w:val="6"/>
            <w:noWrap w:val="0"/>
            <w:vAlign w:val="center"/>
          </w:tcPr>
          <w:p>
            <w:pPr>
              <w:jc w:val="center"/>
              <w:rPr>
                <w:rFonts w:hint="eastAsia" w:ascii="仿宋_GB2312" w:eastAsia="仿宋_GB2312" w:cs="Times New Roman"/>
              </w:rPr>
            </w:pPr>
          </w:p>
        </w:tc>
      </w:tr>
    </w:tbl>
    <w:p>
      <w:pPr>
        <w:rPr>
          <w:rFonts w:hint="eastAsia"/>
        </w:rPr>
        <w:sectPr>
          <w:pgSz w:w="16838" w:h="11906" w:orient="landscape"/>
          <w:pgMar w:top="1531" w:right="1928" w:bottom="1418" w:left="1701" w:header="851" w:footer="1418" w:gutter="0"/>
          <w:pgNumType w:fmt="numberInDash" w:chapStyle="1" w:chapSep="emDash"/>
          <w:cols w:space="720" w:num="1"/>
          <w:docGrid w:type="lines" w:linePitch="312" w:charSpace="0"/>
        </w:sectPr>
      </w:pPr>
      <w:r>
        <w:rPr>
          <w:rFonts w:hint="eastAsia" w:ascii="仿宋_GB2312" w:eastAsia="仿宋_GB2312" w:cs="Times New Roman"/>
        </w:rPr>
        <w:t>说明：1. 本表中所列专业依据教育部2012年出版的《普通高等学校本科专业目录》、《普通高等学校高职高专（专科）专业目录》，要求符合相关专业的大类范围；</w:t>
      </w:r>
      <w:r>
        <w:rPr>
          <w:rFonts w:hint="eastAsia" w:ascii="仿宋_GB2312" w:eastAsia="仿宋_GB2312" w:cs="Times New Roman"/>
        </w:rPr>
        <w:br w:type="textWrapping"/>
      </w:r>
      <w:r>
        <w:rPr>
          <w:rFonts w:hint="eastAsia" w:ascii="仿宋_GB2312" w:eastAsia="仿宋_GB2312" w:cs="Times New Roman"/>
        </w:rPr>
        <w:t xml:space="preserve">      2. 师范类教育学、小学教育、初等教育等专业报考岗位以教师资格证学科为准；</w:t>
      </w:r>
      <w:r>
        <w:rPr>
          <w:rFonts w:hint="eastAsia" w:ascii="仿宋_GB2312" w:eastAsia="仿宋_GB2312" w:cs="Times New Roman"/>
        </w:rPr>
        <w:br w:type="textWrapping"/>
      </w:r>
      <w:r>
        <w:rPr>
          <w:rFonts w:hint="eastAsia" w:ascii="仿宋_GB2312" w:eastAsia="仿宋_GB2312" w:cs="Times New Roman"/>
        </w:rPr>
        <w:t xml:space="preserve">      3. 硕士研究生的教育学原理、课程教学论、学科教学、比较教育学等专业报考岗位以研究学科方向与本科所学专业结合为准；      </w:t>
      </w:r>
      <w:r>
        <w:rPr>
          <w:rFonts w:hint="eastAsia" w:ascii="仿宋_GB2312" w:eastAsia="仿宋_GB2312" w:cs="Times New Roman"/>
        </w:rPr>
        <w:br w:type="textWrapping"/>
      </w:r>
      <w:r>
        <w:rPr>
          <w:rFonts w:hint="eastAsia" w:ascii="仿宋_GB2312" w:eastAsia="仿宋_GB2312" w:cs="Times New Roman"/>
        </w:rPr>
        <w:t xml:space="preserve">      4. 岗位A为普通学历要求，岗位B为硕士研究生及以上学历要求(只要专业所属大类符合招聘岗位需求都可以报考)。</w:t>
      </w:r>
      <w:r>
        <w:rPr>
          <w:rFonts w:hint="eastAsia" w:ascii="仿宋_GB2312" w:eastAsia="仿宋_GB2312" w:cs="Times New Roman"/>
        </w:rPr>
        <w:br w:type="textWrapping"/>
      </w:r>
      <w:r>
        <w:rPr>
          <w:rFonts w:hint="eastAsia" w:ascii="仿宋_GB2312" w:eastAsia="仿宋_GB2312" w:cs="Times New Roman"/>
        </w:rPr>
        <w:t xml:space="preserve">      5. 海外留学人员：须提供教育部中国留学服务中心出具的境外学历、学位认证书原件及复印件；2023年8月1日至2024年7月31日毕业的国（境）外留学回  国（境）人员可等同于2024年普通高校应届毕业生，但须在2024年7月31日前取得教育部中国留学服务中心出具的国（境）外学历、学位认证书。</w:t>
      </w:r>
      <w:r>
        <w:rPr>
          <w:rFonts w:hint="eastAsia" w:ascii="仿宋_GB2312" w:eastAsia="仿宋_GB2312" w:cs="Times New Roman"/>
        </w:rPr>
        <w:br w:type="textWrapping"/>
      </w:r>
      <w:r>
        <w:rPr>
          <w:rFonts w:hint="eastAsia" w:ascii="仿宋_GB2312" w:eastAsia="仿宋_GB2312" w:cs="Times New Roman"/>
        </w:rPr>
        <w:t xml:space="preserve">      6. 年龄计算截止到报名起始日，如，30周岁为1994年4月27日及以后出生，其他的照此计算。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GQ1ZDk4NjY2M2I3YTI5YmJjMWY3NDU2Y2Q4YjUifQ=="/>
    <w:docVar w:name="KSO_WPS_MARK_KEY" w:val="fde54b83-1ef5-43f0-9a25-a9de94c63635"/>
  </w:docVars>
  <w:rsids>
    <w:rsidRoot w:val="51E62E47"/>
    <w:rsid w:val="51E6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2024-04-18T00:22:00Z</dcterms:created>
  <dc:creator>Big Uncle</dc:creator>
  <cp:lastModifiedBy>Big Uncle</cp:lastModifiedBy>
  <dcterms:modified xsi:type="dcterms:W3CDTF">2024-04-18T00:23:43Z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5E0D64C11DFA42A09D0C9C598C7738F3_11</vt:lpwstr>
  </property>
</Properties>
</file>