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附件1</w:t>
      </w:r>
    </w:p>
    <w:tbl>
      <w:tblPr>
        <w:tblStyle w:val="6"/>
        <w:tblW w:w="14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8"/>
        <w:gridCol w:w="765"/>
        <w:gridCol w:w="735"/>
        <w:gridCol w:w="750"/>
        <w:gridCol w:w="780"/>
        <w:gridCol w:w="2895"/>
        <w:gridCol w:w="2100"/>
        <w:gridCol w:w="1935"/>
        <w:gridCol w:w="4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73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金昌市金川区教育系统2024年第二批引进高层次和急需紧缺人才岗位简表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引进单位</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代码</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引进</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1126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引进条件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年龄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职业资格证明</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引进范围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0" w:hRule="atLeast"/>
        </w:trPr>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金川区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城区小学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数学教师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B</w:t>
            </w:r>
            <w:bookmarkStart w:id="0" w:name="_GoBack"/>
            <w:bookmarkEnd w:id="0"/>
            <w:r>
              <w:rPr>
                <w:rFonts w:hint="default" w:ascii="Times New Roman" w:hAnsi="Times New Roman" w:eastAsia="宋体" w:cs="Times New Roman"/>
                <w:i w:val="0"/>
                <w:iCs w:val="0"/>
                <w:color w:val="000000"/>
                <w:kern w:val="0"/>
                <w:sz w:val="22"/>
                <w:szCs w:val="22"/>
                <w:u w:val="none"/>
                <w:lang w:val="en-US" w:eastAsia="zh-CN" w:bidi="ar"/>
              </w:rPr>
              <w:t>01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bCs/>
                <w:i w:val="0"/>
                <w:iCs w:val="0"/>
                <w:color w:val="000000"/>
                <w:sz w:val="22"/>
                <w:szCs w:val="22"/>
                <w:u w:val="none"/>
                <w:lang w:val="en-US"/>
              </w:rPr>
            </w:pPr>
            <w:r>
              <w:rPr>
                <w:rStyle w:val="13"/>
                <w:rFonts w:hAnsi="宋体"/>
                <w:lang w:val="en-US" w:eastAsia="zh-CN" w:bidi="ar"/>
              </w:rPr>
              <w:t>本  科：</w:t>
            </w:r>
            <w:r>
              <w:rPr>
                <w:rStyle w:val="14"/>
                <w:rFonts w:hAnsi="宋体"/>
                <w:lang w:val="en-US" w:eastAsia="zh-CN" w:bidi="ar"/>
              </w:rPr>
              <w:t>数学与应用数学、信息与计算科学、数理基础科学、小学教育</w:t>
            </w:r>
            <w:r>
              <w:rPr>
                <w:rStyle w:val="14"/>
                <w:rFonts w:hAnsi="宋体"/>
                <w:lang w:val="en-US" w:eastAsia="zh-CN" w:bidi="ar"/>
              </w:rPr>
              <w:br w:type="textWrapping"/>
            </w:r>
            <w:r>
              <w:rPr>
                <w:rStyle w:val="13"/>
                <w:rFonts w:hAnsi="宋体"/>
                <w:lang w:val="en-US" w:eastAsia="zh-CN" w:bidi="ar"/>
              </w:rPr>
              <w:t>研究生：</w:t>
            </w:r>
            <w:r>
              <w:rPr>
                <w:rStyle w:val="14"/>
                <w:rFonts w:hAnsi="宋体"/>
                <w:lang w:val="en-US" w:eastAsia="zh-CN" w:bidi="ar"/>
              </w:rPr>
              <w:t>概率论与数理统计、基础数学、计算数学、应用数学、运筹学与控制论、数学、学科教学（数学）、信息与计算科学、课程与教学论（数学方向）、</w:t>
            </w:r>
            <w:r>
              <w:rPr>
                <w:rStyle w:val="14"/>
                <w:rFonts w:hint="eastAsia" w:hAnsi="宋体"/>
                <w:lang w:val="en-US" w:eastAsia="zh-CN" w:bidi="ar"/>
              </w:rPr>
              <w:t>小学教育</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本科及硕士研究生年龄不超过30周岁（1994年4月1日以后出生），博士研究生年龄不超过45周岁（1979年4月1日以后出生）。中级职称人员年龄不超过35周岁（1989年4月1日以后出生），副高级及以上职称人员年龄不超过40周岁（1984年4月1日以后出生）。</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取得相应学段、学科教师资格证书（教师资格证书、教育部考试中心颁发的中小学教师资格考试合格证明或学校免试认定教师资格证明）</w:t>
            </w:r>
          </w:p>
        </w:tc>
        <w:tc>
          <w:tcPr>
            <w:tcW w:w="4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15"/>
                <w:rFonts w:hAnsi="宋体"/>
                <w:lang w:val="en-US" w:eastAsia="zh-CN" w:bidi="ar"/>
              </w:rPr>
              <w:t>（一）“双一流”建设高校全日制应往届本科及以上学历毕业生；</w:t>
            </w:r>
            <w:r>
              <w:rPr>
                <w:rStyle w:val="15"/>
                <w:rFonts w:hAnsi="宋体"/>
                <w:lang w:val="en-US" w:eastAsia="zh-CN" w:bidi="ar"/>
              </w:rPr>
              <w:br w:type="textWrapping"/>
            </w:r>
            <w:r>
              <w:rPr>
                <w:rStyle w:val="15"/>
                <w:rFonts w:hAnsi="宋体"/>
                <w:lang w:val="en-US" w:eastAsia="zh-CN" w:bidi="ar"/>
              </w:rPr>
              <w:t>（二）教育部直属师范院校全日制应往届本科及以上学历毕业生；</w:t>
            </w:r>
            <w:r>
              <w:rPr>
                <w:rStyle w:val="15"/>
                <w:rFonts w:hAnsi="宋体"/>
                <w:lang w:val="en-US" w:eastAsia="zh-CN" w:bidi="ar"/>
              </w:rPr>
              <w:br w:type="textWrapping"/>
            </w:r>
            <w:r>
              <w:rPr>
                <w:rStyle w:val="15"/>
                <w:rFonts w:hAnsi="宋体"/>
                <w:lang w:val="en-US" w:eastAsia="zh-CN" w:bidi="ar"/>
              </w:rPr>
              <w:t>（三）普通高校全日制应往届硕士研究生及以上学历毕业生；</w:t>
            </w:r>
            <w:r>
              <w:rPr>
                <w:rStyle w:val="15"/>
                <w:rFonts w:hAnsi="宋体"/>
                <w:lang w:val="en-US" w:eastAsia="zh-CN" w:bidi="ar"/>
              </w:rPr>
              <w:br w:type="textWrapping"/>
            </w:r>
            <w:r>
              <w:rPr>
                <w:rStyle w:val="15"/>
                <w:rFonts w:hAnsi="宋体"/>
                <w:lang w:val="en-US" w:eastAsia="zh-CN" w:bidi="ar"/>
              </w:rPr>
              <w:t>（四）教育部与省级政府共建师范大学全日制应往届本科及以上学历师范类专业毕业生；</w:t>
            </w:r>
            <w:r>
              <w:rPr>
                <w:rStyle w:val="15"/>
                <w:rFonts w:hAnsi="宋体"/>
                <w:lang w:val="en-US" w:eastAsia="zh-CN" w:bidi="ar"/>
              </w:rPr>
              <w:br w:type="textWrapping"/>
            </w:r>
            <w:r>
              <w:rPr>
                <w:rStyle w:val="15"/>
                <w:rFonts w:hAnsi="宋体"/>
                <w:lang w:val="en-US" w:eastAsia="zh-CN" w:bidi="ar"/>
              </w:rPr>
              <w:t>（五）省属重点师范院校全日制应往届本科及以上学历师范类专业毕业生；</w:t>
            </w:r>
            <w:r>
              <w:rPr>
                <w:rStyle w:val="15"/>
                <w:rFonts w:hAnsi="宋体"/>
                <w:lang w:val="en-US" w:eastAsia="zh-CN" w:bidi="ar"/>
              </w:rPr>
              <w:br w:type="textWrapping"/>
            </w:r>
            <w:r>
              <w:rPr>
                <w:rStyle w:val="15"/>
                <w:rFonts w:hAnsi="宋体"/>
                <w:lang w:val="en-US" w:eastAsia="zh-CN" w:bidi="ar"/>
              </w:rPr>
              <w:t>（六）具有全省有效中小学（含中职）中级及以上职称，且有大学本科及以上学历的教学业务骨干。</w:t>
            </w:r>
            <w:r>
              <w:rPr>
                <w:rStyle w:val="15"/>
                <w:rFonts w:hAnsi="宋体"/>
                <w:lang w:val="en-US" w:eastAsia="zh-CN" w:bidi="ar"/>
              </w:rPr>
              <w:br w:type="textWrapping"/>
            </w:r>
            <w:r>
              <w:rPr>
                <w:rStyle w:val="16"/>
                <w:rFonts w:hAnsi="宋体"/>
                <w:lang w:val="en-US" w:eastAsia="zh-CN" w:bidi="ar"/>
              </w:rPr>
              <w:t>注：此次人才引进，暂不考虑具备相应学历的留学生。硕士研究生要求本科专业与研究生专业大类一致。</w:t>
            </w:r>
          </w:p>
        </w:tc>
      </w:tr>
    </w:tbl>
    <w:p>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黑体" w:hAnsi="黑体" w:eastAsia="黑体" w:cs="黑体"/>
          <w:spacing w:val="-6"/>
          <w:sz w:val="32"/>
          <w:szCs w:val="32"/>
          <w:lang w:val="en-US" w:eastAsia="zh-CN"/>
        </w:rPr>
      </w:pPr>
    </w:p>
    <w:sectPr>
      <w:headerReference r:id="rId3" w:type="default"/>
      <w:footerReference r:id="rId4" w:type="default"/>
      <w:footerReference r:id="rId5" w:type="even"/>
      <w:pgSz w:w="16838" w:h="11906" w:orient="landscape"/>
      <w:pgMar w:top="1531" w:right="1587" w:bottom="147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2010"/>
    </w:sdtPr>
    <w:sdt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536575"/>
    </w:sdtPr>
    <w:sdtEndPr>
      <w:rPr>
        <w:rFonts w:ascii="宋体" w:hAnsi="宋体" w:eastAsia="宋体"/>
        <w:sz w:val="28"/>
        <w:szCs w:val="28"/>
      </w:rPr>
    </w:sdtEndPr>
    <w:sdtContent>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lZTVmMjlmNTNjY2JiZDgwOWYyNmQ0MDkyNTkzZDEifQ=="/>
  </w:docVars>
  <w:rsids>
    <w:rsidRoot w:val="000D3423"/>
    <w:rsid w:val="00012CF1"/>
    <w:rsid w:val="00052983"/>
    <w:rsid w:val="000A4C0D"/>
    <w:rsid w:val="000D137F"/>
    <w:rsid w:val="000D3423"/>
    <w:rsid w:val="000F0ED3"/>
    <w:rsid w:val="00146984"/>
    <w:rsid w:val="001A2B98"/>
    <w:rsid w:val="001E6FB7"/>
    <w:rsid w:val="001F1FC8"/>
    <w:rsid w:val="0022159A"/>
    <w:rsid w:val="00273F4C"/>
    <w:rsid w:val="00281950"/>
    <w:rsid w:val="002A3E61"/>
    <w:rsid w:val="002B7301"/>
    <w:rsid w:val="00371E06"/>
    <w:rsid w:val="00374BA8"/>
    <w:rsid w:val="00394B16"/>
    <w:rsid w:val="003C047E"/>
    <w:rsid w:val="003D62E0"/>
    <w:rsid w:val="00421C2D"/>
    <w:rsid w:val="00437A2D"/>
    <w:rsid w:val="00461884"/>
    <w:rsid w:val="00461EFC"/>
    <w:rsid w:val="00465971"/>
    <w:rsid w:val="004C06F6"/>
    <w:rsid w:val="004F68E8"/>
    <w:rsid w:val="0050419A"/>
    <w:rsid w:val="00531028"/>
    <w:rsid w:val="00535D19"/>
    <w:rsid w:val="00572899"/>
    <w:rsid w:val="005A3A22"/>
    <w:rsid w:val="006074CC"/>
    <w:rsid w:val="006917EB"/>
    <w:rsid w:val="006F4CC5"/>
    <w:rsid w:val="00702B0C"/>
    <w:rsid w:val="00706566"/>
    <w:rsid w:val="00713334"/>
    <w:rsid w:val="007140BF"/>
    <w:rsid w:val="00733BA0"/>
    <w:rsid w:val="007449D7"/>
    <w:rsid w:val="007A4E6B"/>
    <w:rsid w:val="007D44B7"/>
    <w:rsid w:val="007D4CC9"/>
    <w:rsid w:val="00815F0E"/>
    <w:rsid w:val="0085632A"/>
    <w:rsid w:val="00872CC1"/>
    <w:rsid w:val="008A5258"/>
    <w:rsid w:val="008C51CC"/>
    <w:rsid w:val="008F1693"/>
    <w:rsid w:val="00921275"/>
    <w:rsid w:val="00941EC3"/>
    <w:rsid w:val="00966780"/>
    <w:rsid w:val="009C2854"/>
    <w:rsid w:val="009C40B7"/>
    <w:rsid w:val="00A3097E"/>
    <w:rsid w:val="00A87B2B"/>
    <w:rsid w:val="00AB7C5D"/>
    <w:rsid w:val="00AD1D5D"/>
    <w:rsid w:val="00AD3388"/>
    <w:rsid w:val="00AF712C"/>
    <w:rsid w:val="00B94EEC"/>
    <w:rsid w:val="00BC0BDA"/>
    <w:rsid w:val="00C470C3"/>
    <w:rsid w:val="00C85624"/>
    <w:rsid w:val="00C95BC8"/>
    <w:rsid w:val="00CB2D67"/>
    <w:rsid w:val="00CB76DE"/>
    <w:rsid w:val="00CE5EB2"/>
    <w:rsid w:val="00D04954"/>
    <w:rsid w:val="00D06FBD"/>
    <w:rsid w:val="00D9039F"/>
    <w:rsid w:val="00DB126B"/>
    <w:rsid w:val="00EC5083"/>
    <w:rsid w:val="00EC7D93"/>
    <w:rsid w:val="00EF4D58"/>
    <w:rsid w:val="00F60821"/>
    <w:rsid w:val="00FA6828"/>
    <w:rsid w:val="00FE0EB2"/>
    <w:rsid w:val="01D85A9B"/>
    <w:rsid w:val="03DB4E77"/>
    <w:rsid w:val="06F7240A"/>
    <w:rsid w:val="097301E4"/>
    <w:rsid w:val="0C2C7CAB"/>
    <w:rsid w:val="0EC20F50"/>
    <w:rsid w:val="10B63FE7"/>
    <w:rsid w:val="113A5F70"/>
    <w:rsid w:val="11766913"/>
    <w:rsid w:val="1198193E"/>
    <w:rsid w:val="12A6008B"/>
    <w:rsid w:val="19044C7B"/>
    <w:rsid w:val="1C8E7BC6"/>
    <w:rsid w:val="1E301DCD"/>
    <w:rsid w:val="204D4036"/>
    <w:rsid w:val="23166B67"/>
    <w:rsid w:val="268169ED"/>
    <w:rsid w:val="26AD77E2"/>
    <w:rsid w:val="282835C4"/>
    <w:rsid w:val="28A013AD"/>
    <w:rsid w:val="29007F51"/>
    <w:rsid w:val="2C35572A"/>
    <w:rsid w:val="2EA47003"/>
    <w:rsid w:val="2EBE493E"/>
    <w:rsid w:val="34BB131C"/>
    <w:rsid w:val="388D73E9"/>
    <w:rsid w:val="39DB72F7"/>
    <w:rsid w:val="3A521B16"/>
    <w:rsid w:val="3B1626B7"/>
    <w:rsid w:val="3CBC3C6E"/>
    <w:rsid w:val="3CFE722A"/>
    <w:rsid w:val="3E4D29DB"/>
    <w:rsid w:val="412D5350"/>
    <w:rsid w:val="42521512"/>
    <w:rsid w:val="428B67D2"/>
    <w:rsid w:val="429A1DB5"/>
    <w:rsid w:val="436C03B1"/>
    <w:rsid w:val="448654A3"/>
    <w:rsid w:val="483F02A6"/>
    <w:rsid w:val="4ABF34BD"/>
    <w:rsid w:val="4FDD6193"/>
    <w:rsid w:val="534A5134"/>
    <w:rsid w:val="538A1638"/>
    <w:rsid w:val="573174F0"/>
    <w:rsid w:val="584B45E2"/>
    <w:rsid w:val="58C81B00"/>
    <w:rsid w:val="59611BE3"/>
    <w:rsid w:val="59D04CA9"/>
    <w:rsid w:val="59EF5441"/>
    <w:rsid w:val="5C6A0547"/>
    <w:rsid w:val="6055524E"/>
    <w:rsid w:val="61AA2781"/>
    <w:rsid w:val="76DB67A9"/>
    <w:rsid w:val="771F60F3"/>
    <w:rsid w:val="78244281"/>
    <w:rsid w:val="7B8C08E9"/>
    <w:rsid w:val="7C3E291D"/>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customStyle="1" w:styleId="10">
    <w:name w:val="页眉 字符"/>
    <w:basedOn w:val="8"/>
    <w:link w:val="4"/>
    <w:autoRedefine/>
    <w:qFormat/>
    <w:uiPriority w:val="99"/>
    <w:rPr>
      <w:sz w:val="18"/>
      <w:szCs w:val="18"/>
    </w:rPr>
  </w:style>
  <w:style w:type="character" w:customStyle="1" w:styleId="11">
    <w:name w:val="页脚 字符"/>
    <w:basedOn w:val="8"/>
    <w:link w:val="3"/>
    <w:autoRedefine/>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font91"/>
    <w:basedOn w:val="8"/>
    <w:uiPriority w:val="0"/>
    <w:rPr>
      <w:rFonts w:hint="eastAsia" w:ascii="仿宋_GB2312" w:eastAsia="仿宋_GB2312" w:cs="仿宋_GB2312"/>
      <w:b/>
      <w:bCs/>
      <w:color w:val="000000"/>
      <w:sz w:val="22"/>
      <w:szCs w:val="22"/>
      <w:u w:val="none"/>
    </w:rPr>
  </w:style>
  <w:style w:type="character" w:customStyle="1" w:styleId="14">
    <w:name w:val="font71"/>
    <w:basedOn w:val="8"/>
    <w:autoRedefine/>
    <w:qFormat/>
    <w:uiPriority w:val="0"/>
    <w:rPr>
      <w:rFonts w:hint="eastAsia" w:ascii="仿宋_GB2312" w:eastAsia="仿宋_GB2312" w:cs="仿宋_GB2312"/>
      <w:color w:val="000000"/>
      <w:sz w:val="22"/>
      <w:szCs w:val="22"/>
      <w:u w:val="none"/>
    </w:rPr>
  </w:style>
  <w:style w:type="character" w:customStyle="1" w:styleId="15">
    <w:name w:val="font101"/>
    <w:basedOn w:val="8"/>
    <w:uiPriority w:val="0"/>
    <w:rPr>
      <w:rFonts w:hint="eastAsia" w:ascii="仿宋_GB2312" w:eastAsia="仿宋_GB2312" w:cs="仿宋_GB2312"/>
      <w:color w:val="000000"/>
      <w:sz w:val="22"/>
      <w:szCs w:val="22"/>
      <w:u w:val="none"/>
    </w:rPr>
  </w:style>
  <w:style w:type="character" w:customStyle="1" w:styleId="16">
    <w:name w:val="font121"/>
    <w:basedOn w:val="8"/>
    <w:uiPriority w:val="0"/>
    <w:rPr>
      <w:rFonts w:hint="eastAsia" w:ascii="仿宋_GB2312" w:eastAsia="仿宋_GB2312" w:cs="仿宋_GB2312"/>
      <w:b/>
      <w:bCs/>
      <w:color w:val="000000"/>
      <w:sz w:val="22"/>
      <w:szCs w:val="22"/>
      <w:u w:val="none"/>
    </w:rPr>
  </w:style>
  <w:style w:type="character" w:customStyle="1" w:styleId="17">
    <w:name w:val="font51"/>
    <w:basedOn w:val="8"/>
    <w:autoRedefine/>
    <w:qFormat/>
    <w:uiPriority w:val="0"/>
    <w:rPr>
      <w:rFonts w:hint="eastAsia" w:ascii="仿宋_GB2312" w:eastAsia="仿宋_GB2312" w:cs="仿宋_GB2312"/>
      <w:color w:val="000000"/>
      <w:sz w:val="22"/>
      <w:szCs w:val="22"/>
      <w:u w:val="none"/>
    </w:rPr>
  </w:style>
  <w:style w:type="character" w:customStyle="1" w:styleId="18">
    <w:name w:val="font11"/>
    <w:basedOn w:val="8"/>
    <w:autoRedefine/>
    <w:qFormat/>
    <w:uiPriority w:val="0"/>
    <w:rPr>
      <w:rFonts w:hint="eastAsia" w:ascii="宋体" w:hAnsi="宋体" w:eastAsia="宋体" w:cs="宋体"/>
      <w:color w:val="000000"/>
      <w:sz w:val="26"/>
      <w:szCs w:val="26"/>
      <w:u w:val="none"/>
    </w:rPr>
  </w:style>
  <w:style w:type="character" w:customStyle="1" w:styleId="19">
    <w:name w:val="font61"/>
    <w:basedOn w:val="8"/>
    <w:autoRedefine/>
    <w:qFormat/>
    <w:uiPriority w:val="0"/>
    <w:rPr>
      <w:rFonts w:hint="eastAsia" w:ascii="宋体" w:hAnsi="宋体" w:eastAsia="宋体" w:cs="宋体"/>
      <w:color w:val="000000"/>
      <w:sz w:val="24"/>
      <w:szCs w:val="24"/>
      <w:u w:val="none"/>
    </w:rPr>
  </w:style>
  <w:style w:type="character" w:customStyle="1" w:styleId="20">
    <w:name w:val="font41"/>
    <w:basedOn w:val="8"/>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629</Words>
  <Characters>3590</Characters>
  <Lines>29</Lines>
  <Paragraphs>8</Paragraphs>
  <TotalTime>2</TotalTime>
  <ScaleCrop>false</ScaleCrop>
  <LinksUpToDate>false</LinksUpToDate>
  <CharactersWithSpaces>4211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2023-10-30T05:56:00Z</dcterms:created>
  <dc:creator>lenovo</dc:creator>
  <cp:lastModifiedBy>Administrator</cp:lastModifiedBy>
  <cp:lastPrinted>2024-04-17T01:21:00Z</cp:lastPrinted>
  <dcterms:modified xsi:type="dcterms:W3CDTF">2024-04-21T04:44:36Z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1CCD889ECD5E490DB0C4E6F4DC08AAEA_13</vt:lpwstr>
  </property>
</Properties>
</file>