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6"/>
          <w:kern w:val="0"/>
          <w:sz w:val="40"/>
          <w:szCs w:val="40"/>
          <w:bdr w:val="none" w:color="auto" w:sz="0" w:space="0"/>
          <w:shd w:val="clear" w:fill="FBFBFB"/>
          <w:lang w:val="en-US" w:eastAsia="zh-CN" w:bidi="ar"/>
        </w:rPr>
        <w:t>邯郸市肥乡区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6"/>
          <w:kern w:val="0"/>
          <w:sz w:val="40"/>
          <w:szCs w:val="40"/>
          <w:bdr w:val="none" w:color="auto" w:sz="0" w:space="0"/>
          <w:shd w:val="clear" w:fill="FBFBFB"/>
          <w:lang w:val="en-US" w:eastAsia="zh-CN" w:bidi="ar"/>
        </w:rPr>
        <w:t>2024年公开选聘博硕人才岗位表</w:t>
      </w:r>
    </w:p>
    <w:bookmarkEnd w:id="0"/>
    <w:tbl>
      <w:tblPr>
        <w:tblW w:w="14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284"/>
        <w:gridCol w:w="680"/>
        <w:gridCol w:w="1433"/>
        <w:gridCol w:w="4971"/>
        <w:gridCol w:w="1396"/>
        <w:gridCol w:w="883"/>
        <w:gridCol w:w="1572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需求数量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化学、材料化学、分析化学、应用化学、材料化工、化工安全、化工经济贸易、化工企业管理、化学工程与技术、环境化学、化学物理技术、材料物理、物理学、应用物理、材料物理与化学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学、经济学、财务管理、财务学、会计学、统计学、审计学、金融工程、金融工程学、金融科技、金融学、经济大数据分析、经济数学、农村农业经济学、城市经济学、数理金融学、数量经济学、数字经济、应用经济学、金融统计学、经济统计、经济统计学、数据科学、数理统计、数理统计学、应用统计、应用统计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管理、大数据管理与应用、大数据科学与技术、资源环境与地理规划、生态环境计算与服务、大气科学、大气物理学与大气环境、大数据科学与应用、大数据统计、大数据统计方法与应用、环境科学与工程、大数据管理与工程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建筑学、工程管理、土木工程建造与管理、建设工程管理、建筑设计与工程、结构工程、土木工程、城乡规划学、城市与区域规划、建筑技术科学、建筑设计及其理论、建筑与城乡规划设计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作物学、农业工程、畜牧学、农产品安全与环境、区域农业发展、种子科学与技术、种子科学与工程、农业生态环境、农业机械化工程、动物生产、动物生产学、动物生物技术、畜牧生物工程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应急管理、安全科学与工程、公共安全与应急管理、生态环境安全、应急技术与管理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法学类相关专业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事业单位工作人员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新媒体、网络与新媒体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全额事业编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郭亚杰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0310-8561241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生物学相关专业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事业单位工资待遇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+绩效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李炳炳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0310-4909636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具有相应的高中教师资格证书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中心医院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神经内科岗位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神经内科专业（介入方向）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按照单位同类人员工资标准执行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王双海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18931018998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汇文中学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6000元/月以上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白永进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17692011877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汇文中学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6000元/月以上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白永进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17692011877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汇文中学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地理专业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6000元/月以上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白永进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17692011877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spacing w:val="-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民办学校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6C402C27"/>
    <w:rsid w:val="6C4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2024-04-30T02:15:00Z</dcterms:created>
  <dc:creator>Administrator</dc:creator>
  <cp:lastModifiedBy>Administrator</cp:lastModifiedBy>
  <dcterms:modified xsi:type="dcterms:W3CDTF">2024-04-30T04:15:46Z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D4B4BF56E52E445398CD66B92D2282FC_11</vt:lpwstr>
  </property>
</Properties>
</file>