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附件1：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汤阴县教育系统公开选调工作人员岗位表</w:t>
      </w:r>
    </w:p>
    <w:tbl>
      <w:tblPr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978"/>
        <w:gridCol w:w="611"/>
        <w:gridCol w:w="892"/>
        <w:gridCol w:w="474"/>
        <w:gridCol w:w="1057"/>
        <w:gridCol w:w="999"/>
        <w:gridCol w:w="5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选调单位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现任教学科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任教年限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汤阴县教育发展中心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具有中小学一级及以上教师职称，且任职资格证专业为小学语文学科，获得相应学科市级优质课二等奖及以上等次。具有小学及以上学段相应学科教师资格证。现从事相应学段学科教学。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具有中小学一级及以上教师职称，且任职资格证专业为中学语文学科，获得相应学科市级优质课二等奖及以上等次。具有初中及以上学段相应学科教师资格证。现从事相应学段学科教学。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具有中小学一级及以上教师职称，且任职资格证专业为小学数学学科，获得相应学科市级优质课二等奖及以上等次。具有小学及以上学段相应学科教师资格证。现从事相应学段学科教学。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具有中小学一级及以上教师职称，且任职资格证专业为中学数学学科，获得相应学科市级优质课二等奖及以上等次。具有初中及以上学段相应学科教师资格证。现从事相应学段学科教学。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具有中小学一级及以上教师职称，且任职资格证专业为英语或外语学科，获得相应学科市级优质课二等奖及以上等次。具有小学及以上学段相应学科教师资格证。现从事相应学段学科教学。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具有中小学一级及以上教师职称，且任职资格证专业为英语或外语学科，获得相应学科市级优质课二等奖及以上等次。具有初中及以上学段相应学科教师资格证。现从事相应学段学科教学。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中小学道德与法治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具有中小学一级及以上教师职称，且任职资格证专业为道德与法治、思想品德或政治学科，获得相应学科市级优质课二等奖及以上等次。具有相应学段相应学科教师资格证。现从事相应学段学科教学。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汤阴县教育发展中心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具有中小学一级及以上教师职称，且任职资格证专业为历史学科，获得相应学科市级优质课二等奖及以上等次。具有初中及以上学段相应学科教师资格证。现从事相应学段学科教学。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具有中小学一级及以上教师职称，且任职资格证专业为物理学科，获得相应学科市级优质课二等奖及以上等次。具有初中及以上学段相应学科教师资格证。现从事相应学段学科教学。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具有中小学一级及以上教师职称，且任职资格证专业为化学学科，获得相应学科市级优质课二等奖及以上等次。具有初中及以上学段相应学科教师资格证。现从事相应学段学科教学。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具有中小学一级及以上教师职称，且任职资格证专业为生物学科，获得相应学科市级优质课二等奖及以上等次。具有初中及以上学段相应学科教师资格证。现从事相应学段学科教学。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6年及以上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具有中小学一级及以上教师职称，且任职资格证专业为地理学科，获得相应学科市级优质课二等奖及以上等次。具有初中及以上学段相应学科教师资格证。现从事相应学段学科教学。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具有教师资格证，所学专业为财务管理、会计、审计、会计学、审计学等相关相近专业。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   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DFEF0"/>
        </w:rPr>
        <w:t>备注：优质课以职称评审认定范围的优质课为准，需附评价表。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1CC210C"/>
    <w:rsid w:val="11C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2024-05-04T00:27:00Z</dcterms:created>
  <dc:creator>Administrator</dc:creator>
  <cp:lastModifiedBy>水无鱼</cp:lastModifiedBy>
  <dcterms:modified xsi:type="dcterms:W3CDTF">2024-05-04T02:34:12Z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4F8079EE74FB4873B95290477AC11FBC_11</vt:lpwstr>
  </property>
</Properties>
</file>