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方正公文小标宋" w:hAnsi="方正公文小标宋" w:eastAsia="方正公文小标宋" w:cs="方正公文小标宋"/>
          <w:i w:val="0"/>
          <w:iCs w:val="0"/>
          <w:caps w:val="0"/>
          <w:color w:val="444444"/>
          <w:spacing w:val="0"/>
          <w:sz w:val="36"/>
          <w:szCs w:val="36"/>
          <w:bdr w:val="none" w:color="auto" w:sz="0" w:space="0"/>
          <w:shd w:val="clear" w:fill="FFFFFF"/>
        </w:rPr>
        <w:t>仲恺农业工程学院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444444"/>
          <w:spacing w:val="0"/>
          <w:sz w:val="36"/>
          <w:szCs w:val="36"/>
          <w:bdr w:val="none" w:color="auto" w:sz="0" w:space="0"/>
          <w:shd w:val="clear" w:fill="FFFFFF"/>
        </w:rPr>
        <w:t>2024年公开招聘硕士专任教师及实验员岗位表</w:t>
      </w:r>
    </w:p>
    <w:tbl>
      <w:tblPr>
        <w:tblW w:w="954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005"/>
        <w:gridCol w:w="750"/>
        <w:gridCol w:w="4860"/>
        <w:gridCol w:w="795"/>
        <w:gridCol w:w="13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sz w:val="24"/>
                <w:szCs w:val="24"/>
                <w:bdr w:val="none" w:color="auto" w:sz="0" w:space="0"/>
              </w:rPr>
              <w:t>学院名称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sz w:val="24"/>
                <w:szCs w:val="24"/>
                <w:bdr w:val="none" w:color="auto" w:sz="0" w:space="0"/>
              </w:rPr>
              <w:t>岗位编号</w:t>
            </w:r>
          </w:p>
        </w:tc>
        <w:tc>
          <w:tcPr>
            <w:tcW w:w="4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sz w:val="24"/>
                <w:szCs w:val="24"/>
                <w:bdr w:val="none" w:color="auto" w:sz="0" w:space="0"/>
              </w:rPr>
              <w:t>招聘专业及专业代码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信息科学与技术学院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硕士专任教师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48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计算机科学与技术（A081200）、计算机系统结构（A081201）、计算机软件与理论（A081202）、计算机应用技术（A081203）、软件工程（A083501）、应用数学（A070104）、网络空间安全(A083901) 、计算机技术硕士（专业硕士）（A084004）、软件工程硕士（专业硕士）（A084005）、人工智能硕士（专业硕士）（A084010）、大数据技术与工程（专业硕士）（A084011）、网络与信息安全硕士（专业硕士）（A084012）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发表SCI检索高水平论文和英语通过六级者优先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  <w:jc w:val="center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硕士专任教师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48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信号与信息处理（A081002)、控制理论与控制工程（A081101）、交通信息工程及控制（A082302）、模式识别与智能系统（A081104）、新一代电子信息技术硕士（专业硕士）（A084001）、集成电路工程硕士（专业硕士）（A084003）、控制工程硕士（专业硕士）（A084006）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自动化学院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硕士专任教师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48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控制理论与控制工程（A081101）、检测技术与自动化装置（A081102）、系统工程（A081103）、模式识别与智能系统（A081104）、导航、制导与控制（A081105）、电路与系统（A080902）、电磁场与微波技术（A080904）、精密仪器及机械（A080401）、测试计量技术及仪器（A080402）、农业电气化与自动化（A082804）、新一代电子信息技术硕士（专业硕士）（A084001）、通信工程硕士（专业硕士）（A084002）、集成电路工程硕士（专业硕士）（A084003）、控制工程硕士（专业硕士）（A084006）、仪器仪表工程硕士（专业硕士）（A084007）、光电信息工程硕士（专业硕士）（A084008）、人工智能硕士（专业硕士）（A084010）、大数据技术与工程（专业硕士）（A084011）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硕士专任教师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48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电机与电器（A080801）、电力电子与电力传动（A080804）、电工理论与新技术（A080805）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  <w:jc w:val="center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经贸学院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实验员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48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计算机应用技术(A081203)、农村发展硕士（专业硕士）(A090901)、农业经济管理(A120301)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应届毕业生，了解SPSS等常见计量分析软件；同等情况下有学生干部经验或实验室实习经历优先。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注：专业代码参考《广东省2024年考试录用公务员专业参考目录》。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ÃƒÂ¥Ã‚Â¾Ã‚Â®ÃƒÂ¨Ã‚Â½Ã‚Â¯ÃƒÂ©Ã¢â‚¬ÂºÃ¢â‚¬Â¦ÃƒÂ©Ã‚Â»Ã¢â‚¬Ë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CF43E47"/>
    <w:rsid w:val="5CF4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2024-05-05T06:27:00Z</dcterms:created>
  <dc:creator>Administrator</dc:creator>
  <cp:lastModifiedBy>水无鱼</cp:lastModifiedBy>
  <dcterms:modified xsi:type="dcterms:W3CDTF">2024-05-05T08:55:59Z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C4D9D670D1A042F1B437E7AE9D2CCE39_11</vt:lpwstr>
  </property>
</Properties>
</file>