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44"/>
          <w:szCs w:val="44"/>
          <w:lang w:eastAsia="zh-CN"/>
        </w:rPr>
      </w:pPr>
      <w:r>
        <w:rPr>
          <w:rFonts w:hint="eastAsia" w:ascii="微软雅黑" w:hAnsi="微软雅黑" w:eastAsia="微软雅黑" w:cs="微软雅黑"/>
          <w:spacing w:val="-11"/>
          <w:sz w:val="44"/>
          <w:szCs w:val="44"/>
          <w:lang w:val="en-US" w:eastAsia="zh-CN"/>
        </w:rPr>
        <w:t>成都市大弯中学2024年招聘优秀初中教师岗位表</w:t>
      </w:r>
    </w:p>
    <w:tbl>
      <w:tblPr>
        <w:tblStyle w:val="3"/>
        <w:tblW w:w="51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1"/>
        <w:gridCol w:w="946"/>
        <w:gridCol w:w="1033"/>
        <w:gridCol w:w="8002"/>
        <w:gridCol w:w="1354"/>
        <w:gridCol w:w="2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i w:val="0"/>
                <w:iCs w:val="0"/>
                <w:color w:val="auto"/>
                <w:sz w:val="28"/>
                <w:szCs w:val="28"/>
                <w:u w:val="none"/>
              </w:rPr>
            </w:pPr>
            <w:r>
              <w:rPr>
                <w:rFonts w:hint="eastAsia" w:ascii="方正黑体简体" w:hAnsi="方正黑体简体" w:eastAsia="方正黑体简体" w:cs="方正黑体简体"/>
                <w:i w:val="0"/>
                <w:iCs w:val="0"/>
                <w:color w:val="auto"/>
                <w:kern w:val="0"/>
                <w:sz w:val="28"/>
                <w:szCs w:val="28"/>
                <w:u w:val="none"/>
                <w:lang w:val="en-US" w:eastAsia="zh-CN"/>
              </w:rPr>
              <w:t>序号</w:t>
            </w:r>
          </w:p>
        </w:tc>
        <w:tc>
          <w:tcPr>
            <w:tcW w:w="323" w:type="pct"/>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i w:val="0"/>
                <w:iCs w:val="0"/>
                <w:color w:val="auto"/>
                <w:sz w:val="28"/>
                <w:szCs w:val="28"/>
                <w:u w:val="none"/>
              </w:rPr>
            </w:pPr>
            <w:r>
              <w:rPr>
                <w:rFonts w:hint="eastAsia" w:ascii="方正黑体简体" w:hAnsi="方正黑体简体" w:eastAsia="方正黑体简体" w:cs="方正黑体简体"/>
                <w:i w:val="0"/>
                <w:iCs w:val="0"/>
                <w:color w:val="auto"/>
                <w:kern w:val="0"/>
                <w:sz w:val="28"/>
                <w:szCs w:val="28"/>
                <w:u w:val="none"/>
                <w:lang w:val="en-US" w:eastAsia="zh-CN"/>
              </w:rPr>
              <w:t>岗位名称</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i w:val="0"/>
                <w:iCs w:val="0"/>
                <w:color w:val="auto"/>
                <w:sz w:val="28"/>
                <w:szCs w:val="28"/>
                <w:u w:val="none"/>
              </w:rPr>
            </w:pPr>
            <w:r>
              <w:rPr>
                <w:rFonts w:hint="eastAsia" w:ascii="方正黑体简体" w:hAnsi="方正黑体简体" w:eastAsia="方正黑体简体" w:cs="方正黑体简体"/>
                <w:i w:val="0"/>
                <w:iCs w:val="0"/>
                <w:color w:val="auto"/>
                <w:kern w:val="0"/>
                <w:sz w:val="28"/>
                <w:szCs w:val="28"/>
                <w:u w:val="none"/>
                <w:lang w:val="en-US" w:eastAsia="zh-CN"/>
              </w:rPr>
              <w:t>招聘人数</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i w:val="0"/>
                <w:iCs w:val="0"/>
                <w:color w:val="auto"/>
                <w:kern w:val="0"/>
                <w:sz w:val="28"/>
                <w:szCs w:val="28"/>
                <w:u w:val="none"/>
                <w:lang w:val="en-US" w:eastAsia="zh-CN"/>
              </w:rPr>
            </w:pPr>
            <w:r>
              <w:rPr>
                <w:rFonts w:hint="eastAsia" w:ascii="方正黑体简体" w:hAnsi="方正黑体简体" w:eastAsia="方正黑体简体" w:cs="方正黑体简体"/>
                <w:i w:val="0"/>
                <w:iCs w:val="0"/>
                <w:color w:val="auto"/>
                <w:kern w:val="0"/>
                <w:sz w:val="28"/>
                <w:szCs w:val="28"/>
                <w:u w:val="none"/>
                <w:lang w:val="en-US" w:eastAsia="zh-CN"/>
              </w:rPr>
              <w:t>专业要求</w:t>
            </w:r>
          </w:p>
        </w:tc>
        <w:tc>
          <w:tcPr>
            <w:tcW w:w="462"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8"/>
                <w:szCs w:val="28"/>
                <w:u w:val="none"/>
              </w:rPr>
            </w:pPr>
            <w:r>
              <w:rPr>
                <w:rFonts w:hint="eastAsia" w:ascii="方正黑体简体" w:hAnsi="方正黑体简体" w:eastAsia="方正黑体简体" w:cs="方正黑体简体"/>
                <w:i w:val="0"/>
                <w:iCs w:val="0"/>
                <w:color w:val="auto"/>
                <w:kern w:val="0"/>
                <w:sz w:val="28"/>
                <w:szCs w:val="28"/>
                <w:u w:val="none"/>
                <w:lang w:val="en-US" w:eastAsia="zh-CN"/>
              </w:rPr>
              <w:t>学历学位</w:t>
            </w:r>
          </w:p>
        </w:tc>
        <w:tc>
          <w:tcPr>
            <w:tcW w:w="9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8"/>
                <w:szCs w:val="28"/>
                <w:u w:val="none"/>
              </w:rPr>
            </w:pPr>
            <w:r>
              <w:rPr>
                <w:rFonts w:hint="eastAsia" w:ascii="方正黑体简体" w:hAnsi="方正黑体简体" w:eastAsia="方正黑体简体" w:cs="方正黑体简体"/>
                <w:i w:val="0"/>
                <w:iCs w:val="0"/>
                <w:color w:val="auto"/>
                <w:kern w:val="0"/>
                <w:sz w:val="28"/>
                <w:szCs w:val="28"/>
                <w:u w:val="none"/>
                <w:lang w:val="en-US" w:eastAsia="zh-CN"/>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1</w:t>
            </w:r>
          </w:p>
        </w:tc>
        <w:tc>
          <w:tcPr>
            <w:tcW w:w="32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语文</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 xml:space="preserve">4名          </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本科：中国语言文学类（一级学科）、新闻传播学类（一级学科）、教育学（二级学科）；</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研究生：中国语言文学（一级学科）、学科教学（语文）（二级学科）、课程与教学论（语文）（二级学科）</w:t>
            </w:r>
          </w:p>
        </w:tc>
        <w:tc>
          <w:tcPr>
            <w:tcW w:w="462" w:type="pct"/>
            <w:vMerge w:val="restart"/>
            <w:tcBorders>
              <w:top w:val="single" w:color="000000" w:sz="4" w:space="0"/>
              <w:left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普通高等教育本科及以上毕业生，取得学历相应的学位</w:t>
            </w:r>
          </w:p>
        </w:tc>
        <w:tc>
          <w:tcPr>
            <w:tcW w:w="910" w:type="pct"/>
            <w:vMerge w:val="restart"/>
            <w:tcBorders>
              <w:top w:val="single" w:color="000000" w:sz="4" w:space="0"/>
              <w:left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应聘人员年龄应在35岁及以下（1989年6月30日及以后出生），其中具有普通高等教育硕士研究生及以上学历的应聘人员年龄可放宽到40岁及以下（1984年6月30日及以后出生），省市特级教师、正高级教师可不限制年龄。</w:t>
            </w:r>
            <w:r>
              <w:rPr>
                <w:rFonts w:hint="eastAsia" w:ascii="方正仿宋简体" w:hAnsi="方正仿宋简体" w:eastAsia="方正仿宋简体" w:cs="方正仿宋简体"/>
                <w:i w:val="0"/>
                <w:iCs w:val="0"/>
                <w:color w:val="auto"/>
                <w:kern w:val="0"/>
                <w:sz w:val="21"/>
                <w:szCs w:val="21"/>
                <w:u w:val="none"/>
                <w:lang w:val="en-US" w:eastAsia="zh-CN"/>
              </w:rPr>
              <w:br w:type="textWrapping"/>
            </w:r>
            <w:r>
              <w:rPr>
                <w:rFonts w:hint="eastAsia" w:ascii="方正仿宋简体" w:hAnsi="方正仿宋简体" w:eastAsia="方正仿宋简体" w:cs="方正仿宋简体"/>
                <w:i w:val="0"/>
                <w:iCs w:val="0"/>
                <w:color w:val="auto"/>
                <w:kern w:val="0"/>
                <w:sz w:val="21"/>
                <w:szCs w:val="21"/>
                <w:u w:val="none"/>
                <w:lang w:val="en-US" w:eastAsia="zh-CN"/>
              </w:rPr>
              <w:t>2、2024年7月31日前毕业的应往届高校毕业生；</w:t>
            </w:r>
            <w:r>
              <w:rPr>
                <w:rFonts w:hint="eastAsia" w:ascii="方正仿宋简体" w:hAnsi="方正仿宋简体" w:eastAsia="方正仿宋简体" w:cs="方正仿宋简体"/>
                <w:i w:val="0"/>
                <w:iCs w:val="0"/>
                <w:color w:val="auto"/>
                <w:kern w:val="0"/>
                <w:sz w:val="21"/>
                <w:szCs w:val="21"/>
                <w:u w:val="none"/>
                <w:lang w:val="en-US" w:eastAsia="zh-CN"/>
              </w:rPr>
              <w:br w:type="textWrapping"/>
            </w:r>
            <w:r>
              <w:rPr>
                <w:rFonts w:hint="eastAsia" w:ascii="方正仿宋简体" w:hAnsi="方正仿宋简体" w:eastAsia="方正仿宋简体" w:cs="方正仿宋简体"/>
                <w:i w:val="0"/>
                <w:iCs w:val="0"/>
                <w:color w:val="auto"/>
                <w:kern w:val="0"/>
                <w:sz w:val="21"/>
                <w:szCs w:val="21"/>
                <w:u w:val="none"/>
                <w:lang w:val="en-US" w:eastAsia="zh-CN"/>
              </w:rPr>
              <w:t xml:space="preserve">3、具备相应学科中学及以上学段的教师资格证。 </w:t>
            </w:r>
          </w:p>
          <w:p>
            <w:pPr>
              <w:keepNext w:val="0"/>
              <w:keepLines w:val="0"/>
              <w:widowControl/>
              <w:numPr>
                <w:ilvl w:val="0"/>
                <w:numId w:val="2"/>
              </w:numPr>
              <w:suppressLineNumbers w:val="0"/>
              <w:jc w:val="left"/>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普通话达到二级乙等（语文学科需二级甲等）。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2</w:t>
            </w:r>
          </w:p>
        </w:tc>
        <w:tc>
          <w:tcPr>
            <w:tcW w:w="32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数学</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 xml:space="preserve">4名         </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本科：数学类（一级学科）、教育学（二级学科）；</w:t>
            </w:r>
          </w:p>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研究生：数学类、课程与教学论（数学）（二级学科）、学科教学（二级学科）</w:t>
            </w:r>
          </w:p>
        </w:tc>
        <w:tc>
          <w:tcPr>
            <w:tcW w:w="462" w:type="pct"/>
            <w:vMerge w:val="continue"/>
            <w:tcBorders>
              <w:left w:val="single" w:color="auto"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c>
          <w:tcPr>
            <w:tcW w:w="910" w:type="pct"/>
            <w:vMerge w:val="continue"/>
            <w:tcBorders>
              <w:left w:val="single" w:color="000000"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3</w:t>
            </w:r>
          </w:p>
        </w:tc>
        <w:tc>
          <w:tcPr>
            <w:tcW w:w="32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英语</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 xml:space="preserve">4名          </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本科：英语（二级学科）翻译（二级学科）、商务英语（二级学科）；</w:t>
            </w:r>
            <w:r>
              <w:rPr>
                <w:rFonts w:hint="eastAsia" w:ascii="方正仿宋简体" w:hAnsi="方正仿宋简体" w:eastAsia="方正仿宋简体" w:cs="方正仿宋简体"/>
                <w:i w:val="0"/>
                <w:iCs w:val="0"/>
                <w:color w:val="auto"/>
                <w:kern w:val="0"/>
                <w:sz w:val="21"/>
                <w:szCs w:val="21"/>
                <w:u w:val="none"/>
                <w:lang w:val="en-US" w:eastAsia="zh-CN"/>
              </w:rPr>
              <w:br w:type="textWrapping"/>
            </w:r>
            <w:r>
              <w:rPr>
                <w:rFonts w:hint="eastAsia" w:ascii="方正仿宋简体" w:hAnsi="方正仿宋简体" w:eastAsia="方正仿宋简体" w:cs="方正仿宋简体"/>
                <w:i w:val="0"/>
                <w:iCs w:val="0"/>
                <w:color w:val="auto"/>
                <w:kern w:val="0"/>
                <w:sz w:val="21"/>
                <w:szCs w:val="21"/>
                <w:u w:val="none"/>
                <w:lang w:val="en-US" w:eastAsia="zh-CN"/>
              </w:rPr>
              <w:t>研究生：英语语言文学（二级学科），翻译（英语）（二级学科），课程与教学论（英语）（二级学科），学科教学（英语）（二级学科）</w:t>
            </w:r>
          </w:p>
        </w:tc>
        <w:tc>
          <w:tcPr>
            <w:tcW w:w="462" w:type="pct"/>
            <w:vMerge w:val="continue"/>
            <w:tcBorders>
              <w:left w:val="single" w:color="auto"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c>
          <w:tcPr>
            <w:tcW w:w="910" w:type="pct"/>
            <w:vMerge w:val="continue"/>
            <w:tcBorders>
              <w:left w:val="single" w:color="000000"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4</w:t>
            </w:r>
          </w:p>
        </w:tc>
        <w:tc>
          <w:tcPr>
            <w:tcW w:w="32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政治</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 xml:space="preserve">1名  </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本科：政治学类（一级学科）、马克思主义理论类（一级学科）；</w:t>
            </w:r>
          </w:p>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研究生：政治学（一级学科），学科教学（思政）（二级学科），思想政治教育（二级学科）、马克思主义理论类（一级学科）</w:t>
            </w:r>
          </w:p>
        </w:tc>
        <w:tc>
          <w:tcPr>
            <w:tcW w:w="462" w:type="pct"/>
            <w:vMerge w:val="continue"/>
            <w:tcBorders>
              <w:left w:val="single" w:color="auto"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c>
          <w:tcPr>
            <w:tcW w:w="910" w:type="pct"/>
            <w:vMerge w:val="continue"/>
            <w:tcBorders>
              <w:left w:val="single" w:color="000000"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5</w:t>
            </w:r>
          </w:p>
        </w:tc>
        <w:tc>
          <w:tcPr>
            <w:tcW w:w="32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历史</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 xml:space="preserve">2名  </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本科：历史学</w:t>
            </w:r>
            <w:r>
              <w:rPr>
                <w:rFonts w:hint="eastAsia" w:ascii="方正仿宋简体" w:hAnsi="方正仿宋简体" w:eastAsia="方正仿宋简体" w:cs="方正仿宋简体"/>
                <w:i w:val="0"/>
                <w:iCs w:val="0"/>
                <w:color w:val="auto"/>
                <w:sz w:val="21"/>
                <w:szCs w:val="21"/>
                <w:u w:val="none"/>
                <w:lang w:eastAsia="zh-CN"/>
              </w:rPr>
              <w:t>类</w:t>
            </w:r>
            <w:r>
              <w:rPr>
                <w:rFonts w:hint="eastAsia" w:ascii="方正仿宋简体" w:hAnsi="方正仿宋简体" w:eastAsia="方正仿宋简体" w:cs="方正仿宋简体"/>
                <w:i w:val="0"/>
                <w:iCs w:val="0"/>
                <w:color w:val="auto"/>
                <w:sz w:val="21"/>
                <w:szCs w:val="21"/>
                <w:u w:val="none"/>
              </w:rPr>
              <w:t xml:space="preserve">（门类）；                                </w:t>
            </w:r>
          </w:p>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研究生：历史学（门类）、学科教学（历史）（二级学科）、课程与教学论（历史）（二级学科）</w:t>
            </w:r>
          </w:p>
        </w:tc>
        <w:tc>
          <w:tcPr>
            <w:tcW w:w="462" w:type="pct"/>
            <w:vMerge w:val="continue"/>
            <w:tcBorders>
              <w:left w:val="single" w:color="auto" w:sz="4" w:space="0"/>
              <w:bottom w:val="single" w:color="auto"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c>
          <w:tcPr>
            <w:tcW w:w="910" w:type="pct"/>
            <w:vMerge w:val="continue"/>
            <w:tcBorders>
              <w:left w:val="single" w:color="000000" w:sz="4" w:space="0"/>
              <w:bottom w:val="single" w:color="auto"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6</w:t>
            </w:r>
          </w:p>
        </w:tc>
        <w:tc>
          <w:tcPr>
            <w:tcW w:w="32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地理</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 xml:space="preserve">1名  </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本科：地理科学</w:t>
            </w:r>
            <w:r>
              <w:rPr>
                <w:rFonts w:hint="eastAsia" w:ascii="方正仿宋简体" w:hAnsi="方正仿宋简体" w:eastAsia="方正仿宋简体" w:cs="方正仿宋简体"/>
                <w:i w:val="0"/>
                <w:iCs w:val="0"/>
                <w:color w:val="auto"/>
                <w:sz w:val="21"/>
                <w:szCs w:val="21"/>
                <w:u w:val="none"/>
                <w:lang w:eastAsia="zh-CN"/>
              </w:rPr>
              <w:t>类</w:t>
            </w:r>
            <w:r>
              <w:rPr>
                <w:rFonts w:hint="eastAsia" w:ascii="方正仿宋简体" w:hAnsi="方正仿宋简体" w:eastAsia="方正仿宋简体" w:cs="方正仿宋简体"/>
                <w:i w:val="0"/>
                <w:iCs w:val="0"/>
                <w:color w:val="auto"/>
                <w:sz w:val="21"/>
                <w:szCs w:val="21"/>
                <w:u w:val="none"/>
                <w:lang w:val="en-US" w:eastAsia="zh-CN"/>
              </w:rPr>
              <w:t>（门类）</w:t>
            </w:r>
            <w:r>
              <w:rPr>
                <w:rFonts w:hint="eastAsia" w:ascii="方正仿宋简体" w:hAnsi="方正仿宋简体" w:eastAsia="方正仿宋简体" w:cs="方正仿宋简体"/>
                <w:i w:val="0"/>
                <w:iCs w:val="0"/>
                <w:color w:val="auto"/>
                <w:sz w:val="21"/>
                <w:szCs w:val="21"/>
                <w:u w:val="none"/>
              </w:rPr>
              <w:t>。</w:t>
            </w:r>
          </w:p>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研究生：</w:t>
            </w:r>
            <w:r>
              <w:rPr>
                <w:rFonts w:hint="eastAsia" w:ascii="方正仿宋简体" w:hAnsi="方正仿宋简体" w:eastAsia="方正仿宋简体" w:cs="方正仿宋简体"/>
                <w:i w:val="0"/>
                <w:iCs w:val="0"/>
                <w:color w:val="auto"/>
                <w:sz w:val="21"/>
                <w:szCs w:val="21"/>
                <w:u w:val="none"/>
                <w:lang w:eastAsia="zh-CN"/>
              </w:rPr>
              <w:t>地理学类（一级学科）</w:t>
            </w:r>
            <w:r>
              <w:rPr>
                <w:rFonts w:hint="eastAsia" w:ascii="方正仿宋简体" w:hAnsi="方正仿宋简体" w:eastAsia="方正仿宋简体" w:cs="方正仿宋简体"/>
                <w:i w:val="0"/>
                <w:iCs w:val="0"/>
                <w:color w:val="auto"/>
                <w:sz w:val="21"/>
                <w:szCs w:val="21"/>
                <w:u w:val="none"/>
              </w:rPr>
              <w:t>,学科教学（地理）（二级学科）,课程与教学论(地理）（二级学科）。</w:t>
            </w:r>
          </w:p>
        </w:tc>
        <w:tc>
          <w:tcPr>
            <w:tcW w:w="462" w:type="pct"/>
            <w:vMerge w:val="continue"/>
            <w:tcBorders>
              <w:top w:val="single" w:color="auto" w:sz="4" w:space="0"/>
              <w:left w:val="single" w:color="auto"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c>
          <w:tcPr>
            <w:tcW w:w="910" w:type="pct"/>
            <w:vMerge w:val="continue"/>
            <w:tcBorders>
              <w:top w:val="single" w:color="auto" w:sz="4" w:space="0"/>
              <w:left w:val="single" w:color="000000"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7</w:t>
            </w:r>
          </w:p>
        </w:tc>
        <w:tc>
          <w:tcPr>
            <w:tcW w:w="32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生物</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 xml:space="preserve">1名  </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lang w:eastAsia="zh-CN"/>
              </w:rPr>
            </w:pPr>
            <w:r>
              <w:rPr>
                <w:rFonts w:hint="eastAsia" w:ascii="方正仿宋简体" w:hAnsi="方正仿宋简体" w:eastAsia="方正仿宋简体" w:cs="方正仿宋简体"/>
                <w:i w:val="0"/>
                <w:iCs w:val="0"/>
                <w:color w:val="auto"/>
                <w:sz w:val="21"/>
                <w:szCs w:val="21"/>
                <w:u w:val="none"/>
              </w:rPr>
              <w:t>本科：生物</w:t>
            </w:r>
            <w:r>
              <w:rPr>
                <w:rFonts w:hint="eastAsia" w:ascii="方正仿宋简体" w:hAnsi="方正仿宋简体" w:eastAsia="方正仿宋简体" w:cs="方正仿宋简体"/>
                <w:i w:val="0"/>
                <w:iCs w:val="0"/>
                <w:color w:val="auto"/>
                <w:sz w:val="21"/>
                <w:szCs w:val="21"/>
                <w:u w:val="none"/>
                <w:lang w:eastAsia="zh-CN"/>
              </w:rPr>
              <w:t>科学类（门类）</w:t>
            </w:r>
          </w:p>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lang w:eastAsia="zh-CN"/>
              </w:rPr>
            </w:pPr>
            <w:r>
              <w:rPr>
                <w:rFonts w:hint="eastAsia" w:ascii="方正仿宋简体" w:hAnsi="方正仿宋简体" w:eastAsia="方正仿宋简体" w:cs="方正仿宋简体"/>
                <w:i w:val="0"/>
                <w:iCs w:val="0"/>
                <w:color w:val="auto"/>
                <w:sz w:val="21"/>
                <w:szCs w:val="21"/>
                <w:u w:val="none"/>
              </w:rPr>
              <w:t>研究生：生物</w:t>
            </w:r>
            <w:r>
              <w:rPr>
                <w:rFonts w:hint="eastAsia" w:ascii="方正仿宋简体" w:hAnsi="方正仿宋简体" w:eastAsia="方正仿宋简体" w:cs="方正仿宋简体"/>
                <w:i w:val="0"/>
                <w:iCs w:val="0"/>
                <w:color w:val="auto"/>
                <w:sz w:val="21"/>
                <w:szCs w:val="21"/>
                <w:u w:val="none"/>
                <w:lang w:eastAsia="zh-CN"/>
              </w:rPr>
              <w:t>学（一级学科）</w:t>
            </w:r>
            <w:r>
              <w:rPr>
                <w:rFonts w:hint="eastAsia" w:ascii="方正仿宋简体" w:hAnsi="方正仿宋简体" w:eastAsia="方正仿宋简体" w:cs="方正仿宋简体"/>
                <w:i w:val="0"/>
                <w:iCs w:val="0"/>
                <w:color w:val="auto"/>
                <w:sz w:val="21"/>
                <w:szCs w:val="21"/>
                <w:u w:val="none"/>
              </w:rPr>
              <w:t>学科教学（</w:t>
            </w:r>
            <w:r>
              <w:rPr>
                <w:rFonts w:hint="eastAsia" w:ascii="方正仿宋简体" w:hAnsi="方正仿宋简体" w:eastAsia="方正仿宋简体" w:cs="方正仿宋简体"/>
                <w:i w:val="0"/>
                <w:iCs w:val="0"/>
                <w:color w:val="auto"/>
                <w:sz w:val="21"/>
                <w:szCs w:val="21"/>
                <w:u w:val="none"/>
                <w:lang w:eastAsia="zh-CN"/>
              </w:rPr>
              <w:t>生物</w:t>
            </w:r>
            <w:r>
              <w:rPr>
                <w:rFonts w:hint="eastAsia" w:ascii="方正仿宋简体" w:hAnsi="方正仿宋简体" w:eastAsia="方正仿宋简体" w:cs="方正仿宋简体"/>
                <w:i w:val="0"/>
                <w:iCs w:val="0"/>
                <w:color w:val="auto"/>
                <w:sz w:val="21"/>
                <w:szCs w:val="21"/>
                <w:u w:val="none"/>
              </w:rPr>
              <w:t>）（二级学科）,课程与教学论(</w:t>
            </w:r>
            <w:r>
              <w:rPr>
                <w:rFonts w:hint="eastAsia" w:ascii="方正仿宋简体" w:hAnsi="方正仿宋简体" w:eastAsia="方正仿宋简体" w:cs="方正仿宋简体"/>
                <w:i w:val="0"/>
                <w:iCs w:val="0"/>
                <w:color w:val="auto"/>
                <w:sz w:val="21"/>
                <w:szCs w:val="21"/>
                <w:u w:val="none"/>
                <w:lang w:eastAsia="zh-CN"/>
              </w:rPr>
              <w:t>生物</w:t>
            </w:r>
            <w:r>
              <w:rPr>
                <w:rFonts w:hint="eastAsia" w:ascii="方正仿宋简体" w:hAnsi="方正仿宋简体" w:eastAsia="方正仿宋简体" w:cs="方正仿宋简体"/>
                <w:i w:val="0"/>
                <w:iCs w:val="0"/>
                <w:color w:val="auto"/>
                <w:sz w:val="21"/>
                <w:szCs w:val="21"/>
                <w:u w:val="none"/>
              </w:rPr>
              <w:t>）（二级学科）</w:t>
            </w:r>
          </w:p>
        </w:tc>
        <w:tc>
          <w:tcPr>
            <w:tcW w:w="462" w:type="pct"/>
            <w:vMerge w:val="continue"/>
            <w:tcBorders>
              <w:left w:val="single" w:color="auto"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c>
          <w:tcPr>
            <w:tcW w:w="910" w:type="pct"/>
            <w:vMerge w:val="continue"/>
            <w:tcBorders>
              <w:left w:val="single" w:color="000000"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8</w:t>
            </w:r>
          </w:p>
        </w:tc>
        <w:tc>
          <w:tcPr>
            <w:tcW w:w="32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体育</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 xml:space="preserve">3名           </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本科：体育学类（一级学科）</w:t>
            </w:r>
          </w:p>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研究生：体育学（一级学科）、学科教学（体育）（二级学科）、课程与教学论（体育）（二级学科）</w:t>
            </w:r>
          </w:p>
        </w:tc>
        <w:tc>
          <w:tcPr>
            <w:tcW w:w="462" w:type="pct"/>
            <w:vMerge w:val="continue"/>
            <w:tcBorders>
              <w:left w:val="single" w:color="auto"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c>
          <w:tcPr>
            <w:tcW w:w="910" w:type="pct"/>
            <w:vMerge w:val="continue"/>
            <w:tcBorders>
              <w:left w:val="single" w:color="000000"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9</w:t>
            </w:r>
          </w:p>
        </w:tc>
        <w:tc>
          <w:tcPr>
            <w:tcW w:w="32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音乐</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 xml:space="preserve">1名           </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 xml:space="preserve">本科：音乐表演（二级学科）、音乐学（二级学科）、舞蹈表演（二级学科）、舞蹈学（二级学科）、舞蹈教育（二级学科）；                                                               </w:t>
            </w:r>
          </w:p>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研究生：音乐与舞蹈学（一级学科）、音乐（二级学科），课程与教学论（音乐）（二级学科），学科教学（音乐）（二级学科）</w:t>
            </w:r>
          </w:p>
        </w:tc>
        <w:tc>
          <w:tcPr>
            <w:tcW w:w="462" w:type="pct"/>
            <w:vMerge w:val="continue"/>
            <w:tcBorders>
              <w:left w:val="single" w:color="auto"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c>
          <w:tcPr>
            <w:tcW w:w="910" w:type="pct"/>
            <w:vMerge w:val="continue"/>
            <w:tcBorders>
              <w:left w:val="single" w:color="000000"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lang w:val="en-US"/>
              </w:rPr>
            </w:pPr>
            <w:r>
              <w:rPr>
                <w:rFonts w:hint="eastAsia" w:ascii="方正仿宋简体" w:hAnsi="方正仿宋简体" w:eastAsia="方正仿宋简体" w:cs="方正仿宋简体"/>
                <w:i w:val="0"/>
                <w:iCs w:val="0"/>
                <w:color w:val="auto"/>
                <w:kern w:val="0"/>
                <w:sz w:val="21"/>
                <w:szCs w:val="21"/>
                <w:u w:val="none"/>
                <w:lang w:val="en-US" w:eastAsia="zh-CN"/>
              </w:rPr>
              <w:t>10</w:t>
            </w:r>
          </w:p>
        </w:tc>
        <w:tc>
          <w:tcPr>
            <w:tcW w:w="32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美术</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rPr>
              <w:t xml:space="preserve">1名           </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本科：美术学类（一级学科）、艺术设计学（二级学科）、环境设计（二级学科）、数字媒体艺术（二级学科）、艺术教育（二级学科）；</w:t>
            </w:r>
          </w:p>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rPr>
              <w:t>研究生：美术与书法（二级学科）、设计（学）（二级学科）、学科教学（美术）（二级学科）、课程与教学论（美术）（二级学科）</w:t>
            </w:r>
          </w:p>
        </w:tc>
        <w:tc>
          <w:tcPr>
            <w:tcW w:w="462" w:type="pct"/>
            <w:vMerge w:val="continue"/>
            <w:tcBorders>
              <w:left w:val="single" w:color="auto"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c>
          <w:tcPr>
            <w:tcW w:w="910" w:type="pct"/>
            <w:vMerge w:val="continue"/>
            <w:tcBorders>
              <w:left w:val="single" w:color="000000"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11</w:t>
            </w:r>
          </w:p>
        </w:tc>
        <w:tc>
          <w:tcPr>
            <w:tcW w:w="32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心理</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1名</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lang w:eastAsia="zh-CN"/>
              </w:rPr>
            </w:pPr>
            <w:r>
              <w:rPr>
                <w:rFonts w:hint="eastAsia" w:ascii="方正仿宋简体" w:hAnsi="方正仿宋简体" w:eastAsia="方正仿宋简体" w:cs="方正仿宋简体"/>
                <w:i w:val="0"/>
                <w:iCs w:val="0"/>
                <w:color w:val="auto"/>
                <w:sz w:val="21"/>
                <w:szCs w:val="21"/>
                <w:u w:val="none"/>
              </w:rPr>
              <w:t>本科：心理学类</w:t>
            </w:r>
            <w:r>
              <w:rPr>
                <w:rFonts w:hint="eastAsia" w:ascii="方正仿宋简体" w:hAnsi="方正仿宋简体" w:eastAsia="方正仿宋简体" w:cs="方正仿宋简体"/>
                <w:i w:val="0"/>
                <w:iCs w:val="0"/>
                <w:color w:val="auto"/>
                <w:sz w:val="21"/>
                <w:szCs w:val="21"/>
                <w:u w:val="none"/>
                <w:lang w:eastAsia="zh-CN"/>
              </w:rPr>
              <w:t>（门类）</w:t>
            </w:r>
          </w:p>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lang w:eastAsia="zh-CN"/>
              </w:rPr>
            </w:pPr>
            <w:r>
              <w:rPr>
                <w:rFonts w:hint="eastAsia" w:ascii="方正仿宋简体" w:hAnsi="方正仿宋简体" w:eastAsia="方正仿宋简体" w:cs="方正仿宋简体"/>
                <w:i w:val="0"/>
                <w:iCs w:val="0"/>
                <w:color w:val="auto"/>
                <w:sz w:val="21"/>
                <w:szCs w:val="21"/>
                <w:u w:val="none"/>
              </w:rPr>
              <w:t>研究生：心理</w:t>
            </w:r>
            <w:r>
              <w:rPr>
                <w:rFonts w:hint="eastAsia" w:ascii="方正仿宋简体" w:hAnsi="方正仿宋简体" w:eastAsia="方正仿宋简体" w:cs="方正仿宋简体"/>
                <w:i w:val="0"/>
                <w:iCs w:val="0"/>
                <w:color w:val="auto"/>
                <w:sz w:val="21"/>
                <w:szCs w:val="21"/>
                <w:u w:val="none"/>
                <w:lang w:eastAsia="zh-CN"/>
              </w:rPr>
              <w:t>学类（一级学科）、心理健康教育（二级学科）</w:t>
            </w:r>
          </w:p>
        </w:tc>
        <w:tc>
          <w:tcPr>
            <w:tcW w:w="462" w:type="pct"/>
            <w:vMerge w:val="continue"/>
            <w:tcBorders>
              <w:left w:val="single" w:color="auto"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c>
          <w:tcPr>
            <w:tcW w:w="910" w:type="pct"/>
            <w:vMerge w:val="continue"/>
            <w:tcBorders>
              <w:left w:val="single" w:color="000000"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p>
        </w:tc>
        <w:tc>
          <w:tcPr>
            <w:tcW w:w="32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合计</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rPr>
            </w:pPr>
            <w:r>
              <w:rPr>
                <w:rFonts w:hint="eastAsia" w:ascii="方正仿宋简体" w:hAnsi="方正仿宋简体" w:eastAsia="方正仿宋简体" w:cs="方正仿宋简体"/>
                <w:i w:val="0"/>
                <w:iCs w:val="0"/>
                <w:color w:val="auto"/>
                <w:kern w:val="0"/>
                <w:sz w:val="21"/>
                <w:szCs w:val="21"/>
                <w:u w:val="none"/>
                <w:lang w:val="en-US" w:eastAsia="zh-CN"/>
              </w:rPr>
              <w:t>23名</w:t>
            </w:r>
          </w:p>
        </w:tc>
        <w:tc>
          <w:tcPr>
            <w:tcW w:w="27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方正仿宋简体" w:hAnsi="方正仿宋简体" w:eastAsia="方正仿宋简体" w:cs="方正仿宋简体"/>
                <w:i w:val="0"/>
                <w:iCs w:val="0"/>
                <w:color w:val="auto"/>
                <w:sz w:val="21"/>
                <w:szCs w:val="21"/>
                <w:u w:val="none"/>
              </w:rPr>
            </w:pPr>
          </w:p>
        </w:tc>
        <w:tc>
          <w:tcPr>
            <w:tcW w:w="462" w:type="pct"/>
            <w:vMerge w:val="continue"/>
            <w:tcBorders>
              <w:left w:val="single" w:color="auto" w:sz="4" w:space="0"/>
              <w:bottom w:val="single" w:color="000000"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c>
          <w:tcPr>
            <w:tcW w:w="910" w:type="pct"/>
            <w:vMerge w:val="continue"/>
            <w:tcBorders>
              <w:left w:val="single" w:color="000000" w:sz="4" w:space="0"/>
              <w:bottom w:val="single" w:color="000000" w:sz="4" w:space="0"/>
              <w:right w:val="single" w:color="000000" w:sz="4" w:space="0"/>
            </w:tcBorders>
            <w:noWrap w:val="0"/>
            <w:vAlign w:val="center"/>
          </w:tcPr>
          <w:p>
            <w:pPr>
              <w:jc w:val="left"/>
              <w:rPr>
                <w:rFonts w:hint="eastAsia" w:ascii="方正仿宋简体" w:hAnsi="方正仿宋简体" w:eastAsia="方正仿宋简体" w:cs="方正仿宋简体"/>
                <w:i w:val="0"/>
                <w:iCs w:val="0"/>
                <w:color w:val="auto"/>
                <w:sz w:val="21"/>
                <w:szCs w:val="21"/>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Arial Unicode MS"/>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490CC"/>
    <w:multiLevelType w:val="singleLevel"/>
    <w:tmpl w:val="EED490CC"/>
    <w:lvl w:ilvl="0" w:tentative="0">
      <w:start w:val="1"/>
      <w:numFmt w:val="decimal"/>
      <w:suff w:val="nothing"/>
      <w:lvlText w:val="%1、"/>
      <w:lvlJc w:val="left"/>
    </w:lvl>
  </w:abstractNum>
  <w:abstractNum w:abstractNumId="1">
    <w:nsid w:val="19AA9D55"/>
    <w:multiLevelType w:val="singleLevel"/>
    <w:tmpl w:val="19AA9D55"/>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Mzc4Njg3MmEwMjhhZjcwMTViNDM0YTNmMGVlYjAifQ=="/>
  </w:docVars>
  <w:rsids>
    <w:rsidRoot w:val="262C1828"/>
    <w:rsid w:val="262C1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2024-05-27T09:49:00Z</dcterms:created>
  <dc:creator>Primadonna</dc:creator>
  <cp:lastModifiedBy>Primadonna</cp:lastModifiedBy>
  <dcterms:modified xsi:type="dcterms:W3CDTF">2024-05-27T09:50:06Z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715B88BECB384FDD95111736A8C5D99F_11</vt:lpwstr>
  </property>
</Properties>
</file>