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 w:beforeAutospacing="0" w:after="0" w:afterAutospacing="0"/>
        <w:ind w:left="0" w:right="0" w:firstLine="0"/>
        <w:jc w:val="left"/>
        <w:rPr>
          <w:rFonts w:ascii="微软雅黑" w:hAnsi="微软雅黑" w:eastAsia="微软雅黑" w:cs="微软雅黑"/>
          <w:i w:val="0"/>
          <w:iCs w:val="0"/>
          <w:caps w:val="0"/>
          <w:color w:val="333333"/>
          <w:spacing w:val="0"/>
          <w:sz w:val="31"/>
          <w:szCs w:val="31"/>
        </w:rPr>
      </w:pPr>
      <w:r>
        <w:rPr>
          <w:rStyle w:val="7"/>
          <w:rFonts w:hint="eastAsia" w:ascii="微软雅黑" w:hAnsi="微软雅黑" w:eastAsia="微软雅黑" w:cs="微软雅黑"/>
          <w:i w:val="0"/>
          <w:iCs w:val="0"/>
          <w:caps w:val="0"/>
          <w:color w:val="333333"/>
          <w:spacing w:val="0"/>
          <w:sz w:val="24"/>
          <w:szCs w:val="24"/>
          <w:bdr w:val="none" w:color="auto" w:sz="0" w:space="0"/>
          <w:shd w:val="clear" w:fill="FFFFFF"/>
        </w:rPr>
        <w:t>附件2</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 w:beforeAutospacing="0" w:after="0" w:afterAutospacing="0"/>
        <w:ind w:left="0" w:right="0" w:firstLine="870"/>
        <w:jc w:val="center"/>
        <w:rPr>
          <w:rFonts w:hint="eastAsia" w:ascii="微软雅黑" w:hAnsi="微软雅黑" w:eastAsia="微软雅黑" w:cs="微软雅黑"/>
          <w:i w:val="0"/>
          <w:iCs w:val="0"/>
          <w:caps w:val="0"/>
          <w:color w:val="333333"/>
          <w:spacing w:val="0"/>
          <w:sz w:val="43"/>
          <w:szCs w:val="43"/>
        </w:rPr>
      </w:pPr>
      <w:r>
        <w:rPr>
          <w:rStyle w:val="7"/>
          <w:rFonts w:hint="eastAsia" w:ascii="微软雅黑" w:hAnsi="微软雅黑" w:eastAsia="微软雅黑" w:cs="微软雅黑"/>
          <w:i w:val="0"/>
          <w:iCs w:val="0"/>
          <w:caps w:val="0"/>
          <w:color w:val="333333"/>
          <w:spacing w:val="0"/>
          <w:sz w:val="24"/>
          <w:szCs w:val="24"/>
          <w:bdr w:val="none" w:color="auto" w:sz="0" w:space="0"/>
          <w:shd w:val="clear" w:fill="FFFFFF"/>
        </w:rPr>
        <w:t>六枝特区2024年特岗教师招聘“报考学科与所学专业一致”的界定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 w:beforeAutospacing="0" w:after="0" w:afterAutospacing="0"/>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根据教育部专业目录，对2024年六枝特区特岗教师招聘符合报考条件的报考学科与所学专业一致作以下界定：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 w:beforeAutospacing="0" w:after="0" w:afterAutospacing="0"/>
        <w:ind w:left="0" w:right="0" w:firstLine="420"/>
        <w:jc w:val="left"/>
        <w:rPr>
          <w:rFonts w:hint="eastAsia" w:ascii="微软雅黑" w:hAnsi="微软雅黑" w:eastAsia="微软雅黑" w:cs="微软雅黑"/>
          <w:i w:val="0"/>
          <w:iCs w:val="0"/>
          <w:caps w:val="0"/>
          <w:color w:val="333333"/>
          <w:spacing w:val="0"/>
          <w:sz w:val="24"/>
          <w:szCs w:val="24"/>
        </w:rPr>
      </w:pPr>
      <w:r>
        <w:rPr>
          <w:rStyle w:val="7"/>
          <w:rFonts w:hint="eastAsia" w:ascii="微软雅黑" w:hAnsi="微软雅黑" w:eastAsia="微软雅黑" w:cs="微软雅黑"/>
          <w:i w:val="0"/>
          <w:iCs w:val="0"/>
          <w:caps w:val="0"/>
          <w:color w:val="333333"/>
          <w:spacing w:val="0"/>
          <w:sz w:val="24"/>
          <w:szCs w:val="24"/>
          <w:bdr w:val="none" w:color="auto" w:sz="0" w:space="0"/>
          <w:shd w:val="clear" w:fill="FFFFFF"/>
        </w:rPr>
        <w:t>1．道德与法治：</w:t>
      </w:r>
      <w:r>
        <w:rPr>
          <w:rFonts w:hint="eastAsia" w:ascii="微软雅黑" w:hAnsi="微软雅黑" w:eastAsia="微软雅黑" w:cs="微软雅黑"/>
          <w:i w:val="0"/>
          <w:iCs w:val="0"/>
          <w:caps w:val="0"/>
          <w:color w:val="333333"/>
          <w:spacing w:val="0"/>
          <w:sz w:val="24"/>
          <w:szCs w:val="24"/>
          <w:bdr w:val="none" w:color="auto" w:sz="0" w:space="0"/>
          <w:shd w:val="clear" w:fill="FFFFFF"/>
        </w:rPr>
        <w:t>哲学、政治经济学、政治学与行政学、思想政治、思想政治教育、科学社会主义、中国共产党历史、国际政治、马克思主义理论、外交学、国际事务与国际关系、法学、社会学、社会工作。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 w:beforeAutospacing="0" w:after="0" w:afterAutospacing="0"/>
        <w:ind w:left="0" w:right="0" w:firstLine="420"/>
        <w:jc w:val="left"/>
        <w:rPr>
          <w:rFonts w:hint="eastAsia" w:ascii="微软雅黑" w:hAnsi="微软雅黑" w:eastAsia="微软雅黑" w:cs="微软雅黑"/>
          <w:i w:val="0"/>
          <w:iCs w:val="0"/>
          <w:caps w:val="0"/>
          <w:color w:val="333333"/>
          <w:spacing w:val="0"/>
          <w:sz w:val="24"/>
          <w:szCs w:val="24"/>
        </w:rPr>
      </w:pPr>
      <w:r>
        <w:rPr>
          <w:rStyle w:val="7"/>
          <w:rFonts w:hint="eastAsia" w:ascii="微软雅黑" w:hAnsi="微软雅黑" w:eastAsia="微软雅黑" w:cs="微软雅黑"/>
          <w:i w:val="0"/>
          <w:iCs w:val="0"/>
          <w:caps w:val="0"/>
          <w:color w:val="333333"/>
          <w:spacing w:val="0"/>
          <w:sz w:val="24"/>
          <w:szCs w:val="24"/>
          <w:bdr w:val="none" w:color="auto" w:sz="0" w:space="0"/>
          <w:shd w:val="clear" w:fill="FFFFFF"/>
        </w:rPr>
        <w:t>2．语文：</w:t>
      </w:r>
      <w:r>
        <w:rPr>
          <w:rFonts w:hint="eastAsia" w:ascii="微软雅黑" w:hAnsi="微软雅黑" w:eastAsia="微软雅黑" w:cs="微软雅黑"/>
          <w:i w:val="0"/>
          <w:iCs w:val="0"/>
          <w:caps w:val="0"/>
          <w:color w:val="333333"/>
          <w:spacing w:val="0"/>
          <w:sz w:val="24"/>
          <w:szCs w:val="24"/>
          <w:bdr w:val="none" w:color="auto" w:sz="0" w:space="0"/>
          <w:shd w:val="clear" w:fill="FFFFFF"/>
        </w:rPr>
        <w:t>汉语言文学（含各种方向）、汉语言文学教育、语文教育、汉语言、汉语国际教育、中国少数民族语言文学、古典文献学、中国语言文化、应用语言学、文秘教育、人文教育、广播电视学、对外汉语、新闻学、播音与主持艺术、播音与主持、秘书学、华文教育、广播电视新闻学、广播电视学（数字媒体）、广播电视编导。</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 w:beforeAutospacing="0" w:after="0" w:afterAutospacing="0"/>
        <w:ind w:left="0" w:right="0" w:firstLine="420"/>
        <w:jc w:val="left"/>
        <w:rPr>
          <w:rFonts w:hint="eastAsia" w:ascii="微软雅黑" w:hAnsi="微软雅黑" w:eastAsia="微软雅黑" w:cs="微软雅黑"/>
          <w:i w:val="0"/>
          <w:iCs w:val="0"/>
          <w:caps w:val="0"/>
          <w:color w:val="333333"/>
          <w:spacing w:val="0"/>
          <w:sz w:val="24"/>
          <w:szCs w:val="24"/>
        </w:rPr>
      </w:pPr>
      <w:r>
        <w:rPr>
          <w:rStyle w:val="7"/>
          <w:rFonts w:hint="eastAsia" w:ascii="微软雅黑" w:hAnsi="微软雅黑" w:eastAsia="微软雅黑" w:cs="微软雅黑"/>
          <w:i w:val="0"/>
          <w:iCs w:val="0"/>
          <w:caps w:val="0"/>
          <w:color w:val="333333"/>
          <w:spacing w:val="0"/>
          <w:sz w:val="24"/>
          <w:szCs w:val="24"/>
          <w:bdr w:val="none" w:color="auto" w:sz="0" w:space="0"/>
          <w:shd w:val="clear" w:fill="FFFFFF"/>
        </w:rPr>
        <w:t>3．数学：</w:t>
      </w:r>
      <w:r>
        <w:rPr>
          <w:rFonts w:hint="eastAsia" w:ascii="微软雅黑" w:hAnsi="微软雅黑" w:eastAsia="微软雅黑" w:cs="微软雅黑"/>
          <w:i w:val="0"/>
          <w:iCs w:val="0"/>
          <w:caps w:val="0"/>
          <w:color w:val="333333"/>
          <w:spacing w:val="0"/>
          <w:sz w:val="24"/>
          <w:szCs w:val="24"/>
          <w:bdr w:val="none" w:color="auto" w:sz="0" w:space="0"/>
          <w:shd w:val="clear" w:fill="FFFFFF"/>
        </w:rPr>
        <w:t>数学与应用数学（含各种方向）、数学教育、信息与计算科学、数理基础科学、统计学、应用统计学。</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 w:beforeAutospacing="0" w:after="0" w:afterAutospacing="0"/>
        <w:ind w:left="0" w:right="0" w:firstLine="420"/>
        <w:jc w:val="left"/>
        <w:rPr>
          <w:rFonts w:hint="eastAsia" w:ascii="微软雅黑" w:hAnsi="微软雅黑" w:eastAsia="微软雅黑" w:cs="微软雅黑"/>
          <w:i w:val="0"/>
          <w:iCs w:val="0"/>
          <w:caps w:val="0"/>
          <w:color w:val="333333"/>
          <w:spacing w:val="0"/>
          <w:sz w:val="24"/>
          <w:szCs w:val="24"/>
        </w:rPr>
      </w:pPr>
      <w:r>
        <w:rPr>
          <w:rStyle w:val="7"/>
          <w:rFonts w:hint="eastAsia" w:ascii="微软雅黑" w:hAnsi="微软雅黑" w:eastAsia="微软雅黑" w:cs="微软雅黑"/>
          <w:i w:val="0"/>
          <w:iCs w:val="0"/>
          <w:caps w:val="0"/>
          <w:color w:val="333333"/>
          <w:spacing w:val="0"/>
          <w:sz w:val="24"/>
          <w:szCs w:val="24"/>
          <w:bdr w:val="none" w:color="auto" w:sz="0" w:space="0"/>
          <w:shd w:val="clear" w:fill="FFFFFF"/>
        </w:rPr>
        <w:t>4．英语：</w:t>
      </w:r>
      <w:r>
        <w:rPr>
          <w:rFonts w:hint="eastAsia" w:ascii="微软雅黑" w:hAnsi="微软雅黑" w:eastAsia="微软雅黑" w:cs="微软雅黑"/>
          <w:i w:val="0"/>
          <w:iCs w:val="0"/>
          <w:caps w:val="0"/>
          <w:color w:val="333333"/>
          <w:spacing w:val="0"/>
          <w:sz w:val="24"/>
          <w:szCs w:val="24"/>
          <w:bdr w:val="none" w:color="auto" w:sz="0" w:space="0"/>
          <w:shd w:val="clear" w:fill="FFFFFF"/>
        </w:rPr>
        <w:t>英语（含各种方向）、英语教育、商务英语、旅游英语、翻译（英语）、应用英语、各种专业（英语方向）。</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 w:beforeAutospacing="0" w:after="0" w:afterAutospacing="0"/>
        <w:ind w:left="0" w:right="0" w:firstLine="420"/>
        <w:jc w:val="left"/>
        <w:rPr>
          <w:rFonts w:hint="eastAsia" w:ascii="微软雅黑" w:hAnsi="微软雅黑" w:eastAsia="微软雅黑" w:cs="微软雅黑"/>
          <w:i w:val="0"/>
          <w:iCs w:val="0"/>
          <w:caps w:val="0"/>
          <w:color w:val="333333"/>
          <w:spacing w:val="0"/>
          <w:sz w:val="24"/>
          <w:szCs w:val="24"/>
        </w:rPr>
      </w:pPr>
      <w:r>
        <w:rPr>
          <w:rStyle w:val="7"/>
          <w:rFonts w:hint="eastAsia" w:ascii="微软雅黑" w:hAnsi="微软雅黑" w:eastAsia="微软雅黑" w:cs="微软雅黑"/>
          <w:i w:val="0"/>
          <w:iCs w:val="0"/>
          <w:caps w:val="0"/>
          <w:color w:val="333333"/>
          <w:spacing w:val="0"/>
          <w:sz w:val="24"/>
          <w:szCs w:val="24"/>
          <w:bdr w:val="none" w:color="auto" w:sz="0" w:space="0"/>
          <w:shd w:val="clear" w:fill="FFFFFF"/>
        </w:rPr>
        <w:t>5．地理：</w:t>
      </w:r>
      <w:r>
        <w:rPr>
          <w:rFonts w:hint="eastAsia" w:ascii="微软雅黑" w:hAnsi="微软雅黑" w:eastAsia="微软雅黑" w:cs="微软雅黑"/>
          <w:i w:val="0"/>
          <w:iCs w:val="0"/>
          <w:caps w:val="0"/>
          <w:color w:val="333333"/>
          <w:spacing w:val="0"/>
          <w:sz w:val="24"/>
          <w:szCs w:val="24"/>
          <w:bdr w:val="none" w:color="auto" w:sz="0" w:space="0"/>
          <w:shd w:val="clear" w:fill="FFFFFF"/>
        </w:rPr>
        <w:t>地理科学、地理教育、自然地理与资源环境、人文地理与城乡规划、地理信息科学、资源环境与城市管理、地理信息系统与地图制图技术、资源环境与城乡规划管理。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 w:beforeAutospacing="0" w:after="0" w:afterAutospacing="0"/>
        <w:ind w:left="0" w:right="0" w:firstLine="420"/>
        <w:jc w:val="left"/>
        <w:rPr>
          <w:rFonts w:hint="eastAsia" w:ascii="微软雅黑" w:hAnsi="微软雅黑" w:eastAsia="微软雅黑" w:cs="微软雅黑"/>
          <w:i w:val="0"/>
          <w:iCs w:val="0"/>
          <w:caps w:val="0"/>
          <w:color w:val="333333"/>
          <w:spacing w:val="0"/>
          <w:sz w:val="24"/>
          <w:szCs w:val="24"/>
        </w:rPr>
      </w:pPr>
      <w:r>
        <w:rPr>
          <w:rStyle w:val="7"/>
          <w:rFonts w:hint="eastAsia" w:ascii="微软雅黑" w:hAnsi="微软雅黑" w:eastAsia="微软雅黑" w:cs="微软雅黑"/>
          <w:i w:val="0"/>
          <w:iCs w:val="0"/>
          <w:caps w:val="0"/>
          <w:color w:val="333333"/>
          <w:spacing w:val="0"/>
          <w:sz w:val="24"/>
          <w:szCs w:val="24"/>
          <w:bdr w:val="none" w:color="auto" w:sz="0" w:space="0"/>
          <w:shd w:val="clear" w:fill="FFFFFF"/>
        </w:rPr>
        <w:t>6．科学：</w:t>
      </w:r>
      <w:r>
        <w:rPr>
          <w:rFonts w:hint="eastAsia" w:ascii="微软雅黑" w:hAnsi="微软雅黑" w:eastAsia="微软雅黑" w:cs="微软雅黑"/>
          <w:i w:val="0"/>
          <w:iCs w:val="0"/>
          <w:caps w:val="0"/>
          <w:color w:val="333333"/>
          <w:spacing w:val="0"/>
          <w:sz w:val="24"/>
          <w:szCs w:val="24"/>
          <w:bdr w:val="none" w:color="auto" w:sz="0" w:space="0"/>
          <w:shd w:val="clear" w:fill="FFFFFF"/>
        </w:rPr>
        <w:t>科学教育专业且持有科学、物理、化学、生物、综合实践、通用技术教师资格证均可报考；物理（含各种方向）、物理学（含各种方向）、物理教育、应用物理学、通用技术专业持有物理或科学教师资格证；化学（含各种方向）、化学教育、应用化学专业持有化学或科学教师资格证；生物科学、生物教育、应用生物科学专业持有生物或科学教师资格证均可报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 w:beforeAutospacing="0" w:after="0" w:afterAutospacing="0"/>
        <w:ind w:left="0" w:right="0" w:firstLine="420"/>
        <w:jc w:val="left"/>
        <w:rPr>
          <w:rFonts w:hint="eastAsia" w:ascii="微软雅黑" w:hAnsi="微软雅黑" w:eastAsia="微软雅黑" w:cs="微软雅黑"/>
          <w:i w:val="0"/>
          <w:iCs w:val="0"/>
          <w:caps w:val="0"/>
          <w:color w:val="333333"/>
          <w:spacing w:val="0"/>
          <w:sz w:val="24"/>
          <w:szCs w:val="24"/>
        </w:rPr>
      </w:pPr>
      <w:r>
        <w:rPr>
          <w:rStyle w:val="7"/>
          <w:rFonts w:hint="eastAsia" w:ascii="微软雅黑" w:hAnsi="微软雅黑" w:eastAsia="微软雅黑" w:cs="微软雅黑"/>
          <w:i w:val="0"/>
          <w:iCs w:val="0"/>
          <w:caps w:val="0"/>
          <w:color w:val="333333"/>
          <w:spacing w:val="0"/>
          <w:sz w:val="24"/>
          <w:szCs w:val="24"/>
          <w:bdr w:val="none" w:color="auto" w:sz="0" w:space="0"/>
          <w:shd w:val="clear" w:fill="FFFFFF"/>
        </w:rPr>
        <w:t>7．物理：</w:t>
      </w:r>
      <w:r>
        <w:rPr>
          <w:rFonts w:hint="eastAsia" w:ascii="微软雅黑" w:hAnsi="微软雅黑" w:eastAsia="微软雅黑" w:cs="微软雅黑"/>
          <w:i w:val="0"/>
          <w:iCs w:val="0"/>
          <w:caps w:val="0"/>
          <w:color w:val="333333"/>
          <w:spacing w:val="0"/>
          <w:sz w:val="24"/>
          <w:szCs w:val="24"/>
          <w:bdr w:val="none" w:color="auto" w:sz="0" w:space="0"/>
          <w:shd w:val="clear" w:fill="FFFFFF"/>
        </w:rPr>
        <w:t>物理（含各种方向）、物理学（含各种方向）、物理教育、应用物理学、材料物理、核物理、声学、光学、力学、计算物理、理论与应用力学、工程力学。</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 w:beforeAutospacing="0" w:after="0" w:afterAutospacing="0"/>
        <w:ind w:left="0" w:right="0" w:firstLine="420"/>
        <w:jc w:val="left"/>
        <w:rPr>
          <w:rFonts w:hint="eastAsia" w:ascii="微软雅黑" w:hAnsi="微软雅黑" w:eastAsia="微软雅黑" w:cs="微软雅黑"/>
          <w:i w:val="0"/>
          <w:iCs w:val="0"/>
          <w:caps w:val="0"/>
          <w:color w:val="333333"/>
          <w:spacing w:val="0"/>
          <w:sz w:val="24"/>
          <w:szCs w:val="24"/>
        </w:rPr>
      </w:pPr>
      <w:r>
        <w:rPr>
          <w:rStyle w:val="7"/>
          <w:rFonts w:hint="eastAsia" w:ascii="微软雅黑" w:hAnsi="微软雅黑" w:eastAsia="微软雅黑" w:cs="微软雅黑"/>
          <w:i w:val="0"/>
          <w:iCs w:val="0"/>
          <w:caps w:val="0"/>
          <w:color w:val="333333"/>
          <w:spacing w:val="0"/>
          <w:sz w:val="24"/>
          <w:szCs w:val="24"/>
          <w:bdr w:val="none" w:color="auto" w:sz="0" w:space="0"/>
          <w:shd w:val="clear" w:fill="FFFFFF"/>
        </w:rPr>
        <w:t>8．化学：</w:t>
      </w:r>
      <w:r>
        <w:rPr>
          <w:rFonts w:hint="eastAsia" w:ascii="微软雅黑" w:hAnsi="微软雅黑" w:eastAsia="微软雅黑" w:cs="微软雅黑"/>
          <w:i w:val="0"/>
          <w:iCs w:val="0"/>
          <w:caps w:val="0"/>
          <w:color w:val="333333"/>
          <w:spacing w:val="0"/>
          <w:sz w:val="24"/>
          <w:szCs w:val="24"/>
          <w:bdr w:val="none" w:color="auto" w:sz="0" w:space="0"/>
          <w:shd w:val="clear" w:fill="FFFFFF"/>
        </w:rPr>
        <w:t>化学、化学教育、化学生物学、应用化学、分子科学与工程、材料化学、化学工程与工艺、化学工艺、能源化学工程。</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 w:beforeAutospacing="0" w:after="0" w:afterAutospacing="0"/>
        <w:ind w:left="0" w:right="0" w:firstLine="420"/>
        <w:jc w:val="left"/>
        <w:rPr>
          <w:rFonts w:hint="eastAsia" w:ascii="微软雅黑" w:hAnsi="微软雅黑" w:eastAsia="微软雅黑" w:cs="微软雅黑"/>
          <w:i w:val="0"/>
          <w:iCs w:val="0"/>
          <w:caps w:val="0"/>
          <w:color w:val="333333"/>
          <w:spacing w:val="0"/>
          <w:sz w:val="24"/>
          <w:szCs w:val="24"/>
        </w:rPr>
      </w:pPr>
      <w:r>
        <w:rPr>
          <w:rStyle w:val="7"/>
          <w:rFonts w:hint="eastAsia" w:ascii="微软雅黑" w:hAnsi="微软雅黑" w:eastAsia="微软雅黑" w:cs="微软雅黑"/>
          <w:i w:val="0"/>
          <w:iCs w:val="0"/>
          <w:caps w:val="0"/>
          <w:color w:val="333333"/>
          <w:spacing w:val="0"/>
          <w:sz w:val="24"/>
          <w:szCs w:val="24"/>
          <w:bdr w:val="none" w:color="auto" w:sz="0" w:space="0"/>
          <w:shd w:val="clear" w:fill="FFFFFF"/>
        </w:rPr>
        <w:t>9．生物：</w:t>
      </w:r>
      <w:r>
        <w:rPr>
          <w:rFonts w:hint="eastAsia" w:ascii="微软雅黑" w:hAnsi="微软雅黑" w:eastAsia="微软雅黑" w:cs="微软雅黑"/>
          <w:i w:val="0"/>
          <w:iCs w:val="0"/>
          <w:caps w:val="0"/>
          <w:color w:val="333333"/>
          <w:spacing w:val="0"/>
          <w:sz w:val="24"/>
          <w:szCs w:val="24"/>
          <w:bdr w:val="none" w:color="auto" w:sz="0" w:space="0"/>
          <w:shd w:val="clear" w:fill="FFFFFF"/>
        </w:rPr>
        <w:t>生物科学、生物教育、生物技术、生物工程、生物信息学、生态学、生物信息技术、生物科学与生物技术、动植物检疫、生物化学与分子生物学、医学信息学、植物生物技术、动物生物技术、生物资源科学、生物安全、应用生物科学、动物科学。</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 w:beforeAutospacing="0" w:after="0" w:afterAutospacing="0"/>
        <w:ind w:left="0" w:right="0" w:firstLine="420"/>
        <w:jc w:val="left"/>
        <w:rPr>
          <w:rFonts w:hint="eastAsia" w:ascii="微软雅黑" w:hAnsi="微软雅黑" w:eastAsia="微软雅黑" w:cs="微软雅黑"/>
          <w:i w:val="0"/>
          <w:iCs w:val="0"/>
          <w:caps w:val="0"/>
          <w:color w:val="333333"/>
          <w:spacing w:val="0"/>
          <w:sz w:val="24"/>
          <w:szCs w:val="24"/>
        </w:rPr>
      </w:pPr>
      <w:r>
        <w:rPr>
          <w:rStyle w:val="7"/>
          <w:rFonts w:hint="eastAsia" w:ascii="微软雅黑" w:hAnsi="微软雅黑" w:eastAsia="微软雅黑" w:cs="微软雅黑"/>
          <w:i w:val="0"/>
          <w:iCs w:val="0"/>
          <w:caps w:val="0"/>
          <w:color w:val="333333"/>
          <w:spacing w:val="0"/>
          <w:sz w:val="24"/>
          <w:szCs w:val="24"/>
          <w:bdr w:val="none" w:color="auto" w:sz="0" w:space="0"/>
          <w:shd w:val="clear" w:fill="FFFFFF"/>
        </w:rPr>
        <w:t>10．信息科技：</w:t>
      </w:r>
      <w:r>
        <w:rPr>
          <w:rFonts w:hint="eastAsia" w:ascii="微软雅黑" w:hAnsi="微软雅黑" w:eastAsia="微软雅黑" w:cs="微软雅黑"/>
          <w:i w:val="0"/>
          <w:iCs w:val="0"/>
          <w:caps w:val="0"/>
          <w:color w:val="333333"/>
          <w:spacing w:val="0"/>
          <w:sz w:val="24"/>
          <w:szCs w:val="24"/>
          <w:bdr w:val="none" w:color="auto" w:sz="0" w:space="0"/>
          <w:shd w:val="clear" w:fill="FFFFFF"/>
        </w:rPr>
        <w:t>计算机科学与技术、软件工程、教育技术学、网络工程、信息安全、物联网工程、数字媒体技术、智能科学与技术、空间信息与数字技术、电子与计算机工程、信息管理与信息系统、教育信息技术、电子信息科学与技术、电子信息工程、计算机多媒体技术、计算机应用技术、计算机科学教育、现代教育技术、软件与信息服务、软件技术、数据科学与大数据技术、信息工程、现代信息技术教育、通信工程、电子科学与技术。</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 w:beforeAutospacing="0" w:after="0" w:afterAutospacing="0"/>
        <w:ind w:left="0" w:right="0" w:firstLine="420"/>
        <w:jc w:val="left"/>
        <w:rPr>
          <w:rFonts w:hint="eastAsia" w:ascii="微软雅黑" w:hAnsi="微软雅黑" w:eastAsia="微软雅黑" w:cs="微软雅黑"/>
          <w:i w:val="0"/>
          <w:iCs w:val="0"/>
          <w:caps w:val="0"/>
          <w:color w:val="333333"/>
          <w:spacing w:val="0"/>
          <w:sz w:val="24"/>
          <w:szCs w:val="24"/>
        </w:rPr>
      </w:pPr>
      <w:r>
        <w:rPr>
          <w:rStyle w:val="7"/>
          <w:rFonts w:hint="eastAsia" w:ascii="微软雅黑" w:hAnsi="微软雅黑" w:eastAsia="微软雅黑" w:cs="微软雅黑"/>
          <w:i w:val="0"/>
          <w:iCs w:val="0"/>
          <w:caps w:val="0"/>
          <w:color w:val="333333"/>
          <w:spacing w:val="0"/>
          <w:sz w:val="24"/>
          <w:szCs w:val="24"/>
          <w:bdr w:val="none" w:color="auto" w:sz="0" w:space="0"/>
          <w:shd w:val="clear" w:fill="FFFFFF"/>
        </w:rPr>
        <w:t>11．体育与健康：</w:t>
      </w:r>
      <w:r>
        <w:rPr>
          <w:rFonts w:hint="eastAsia" w:ascii="微软雅黑" w:hAnsi="微软雅黑" w:eastAsia="微软雅黑" w:cs="微软雅黑"/>
          <w:i w:val="0"/>
          <w:iCs w:val="0"/>
          <w:caps w:val="0"/>
          <w:color w:val="333333"/>
          <w:spacing w:val="0"/>
          <w:sz w:val="24"/>
          <w:szCs w:val="24"/>
          <w:bdr w:val="none" w:color="auto" w:sz="0" w:space="0"/>
          <w:shd w:val="clear" w:fill="FFFFFF"/>
        </w:rPr>
        <w:t>限持有所报学段及以上教师资格证书的退役军人报考。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7"/>
          <w:rFonts w:hint="eastAsia" w:ascii="微软雅黑" w:hAnsi="微软雅黑" w:eastAsia="微软雅黑" w:cs="微软雅黑"/>
          <w:i w:val="0"/>
          <w:iCs w:val="0"/>
          <w:caps w:val="0"/>
          <w:color w:val="333333"/>
          <w:spacing w:val="0"/>
          <w:sz w:val="24"/>
          <w:szCs w:val="24"/>
          <w:bdr w:val="none" w:color="auto" w:sz="0" w:space="0"/>
          <w:shd w:val="clear" w:fill="FFFFFF"/>
        </w:rPr>
        <w:t>  12．音乐：</w:t>
      </w:r>
      <w:r>
        <w:rPr>
          <w:rFonts w:hint="eastAsia" w:ascii="微软雅黑" w:hAnsi="微软雅黑" w:eastAsia="微软雅黑" w:cs="微软雅黑"/>
          <w:i w:val="0"/>
          <w:iCs w:val="0"/>
          <w:caps w:val="0"/>
          <w:color w:val="333333"/>
          <w:spacing w:val="0"/>
          <w:sz w:val="24"/>
          <w:szCs w:val="24"/>
          <w:bdr w:val="none" w:color="auto" w:sz="0" w:space="0"/>
          <w:shd w:val="clear" w:fill="FFFFFF"/>
        </w:rPr>
        <w:t>音乐学、音乐表演、音乐教育、作曲与作曲技术理论、艺术教育、舞蹈表演、舞蹈学、舞蹈编导、舞蹈教育、表演艺术、钢琴表演、歌舞表演、舞台剧表演、表演（歌舞剧表演）。</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 w:beforeAutospacing="0" w:after="0" w:afterAutospacing="0"/>
        <w:ind w:left="0" w:right="0" w:firstLine="420"/>
        <w:jc w:val="left"/>
        <w:rPr>
          <w:rFonts w:hint="eastAsia" w:ascii="微软雅黑" w:hAnsi="微软雅黑" w:eastAsia="微软雅黑" w:cs="微软雅黑"/>
          <w:i w:val="0"/>
          <w:iCs w:val="0"/>
          <w:caps w:val="0"/>
          <w:color w:val="333333"/>
          <w:spacing w:val="0"/>
          <w:sz w:val="24"/>
          <w:szCs w:val="24"/>
        </w:rPr>
      </w:pPr>
      <w:r>
        <w:rPr>
          <w:rStyle w:val="7"/>
          <w:rFonts w:hint="eastAsia" w:ascii="微软雅黑" w:hAnsi="微软雅黑" w:eastAsia="微软雅黑" w:cs="微软雅黑"/>
          <w:i w:val="0"/>
          <w:iCs w:val="0"/>
          <w:caps w:val="0"/>
          <w:color w:val="333333"/>
          <w:spacing w:val="0"/>
          <w:sz w:val="24"/>
          <w:szCs w:val="24"/>
          <w:bdr w:val="none" w:color="auto" w:sz="0" w:space="0"/>
          <w:shd w:val="clear" w:fill="FFFFFF"/>
        </w:rPr>
        <w:t>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 w:beforeAutospacing="0" w:after="0" w:afterAutospacing="0"/>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1．教育学（含各种方向）持有相应教师资格证可报考相应学科；</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 w:beforeAutospacing="0" w:after="0" w:afterAutospacing="0"/>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2．小学教育（含各种方向）持有相应学科教师资格证只能报考小学相应学科；</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 w:beforeAutospacing="0" w:after="0" w:afterAutospacing="0"/>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3．初等教育（含各种方向）持有相应学科教师资格证只能报考小学相应学科。</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 w:beforeAutospacing="0" w:after="0" w:afterAutospacing="0"/>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4．硕士研究生：不限专业，须取得所报学段及以上相应学科教师资格证书。</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Symbol">
    <w:panose1 w:val="05050102010706020507"/>
    <w:charset w:val="00"/>
    <w:family w:val="auto"/>
    <w:pitch w:val="default"/>
    <w:sig w:usb0="00000000" w:usb1="00000000" w:usb2="00000000" w:usb3="00000000" w:csb0="80000000" w:csb1="00000000"/>
  </w:font>
  <w:font w:name="icon">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PMingLiU">
    <w:panose1 w:val="02020500000000000000"/>
    <w:charset w:val="88"/>
    <w:family w:val="auto"/>
    <w:pitch w:val="default"/>
    <w:sig w:usb0="A00002FF" w:usb1="28CFFCFA" w:usb2="00000016" w:usb3="00000000" w:csb0="00100001" w:csb1="00000000"/>
  </w:font>
  <w:font w:name="方正小标宋简体">
    <w:panose1 w:val="02010601030101010101"/>
    <w:charset w:val="86"/>
    <w:family w:val="auto"/>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Courier New">
    <w:panose1 w:val="02070309020205020404"/>
    <w:charset w:val="00"/>
    <w:family w:val="auto"/>
    <w:pitch w:val="default"/>
    <w:sig w:usb0="E0002AFF" w:usb1="C0007843" w:usb2="00000009" w:usb3="00000000" w:csb0="400001FF" w:csb1="FFFF0000"/>
  </w:font>
  <w:font w:name="Arial">
    <w:panose1 w:val="020B0604020202020204"/>
    <w:charset w:val="00"/>
    <w:family w:val="auto"/>
    <w:pitch w:val="default"/>
    <w:sig w:usb0="E0002AFF" w:usb1="C0007843" w:usb2="00000009" w:usb3="00000000" w:csb0="400001FF" w:csb1="FFFF0000"/>
  </w:font>
  <w:font w:name="sans-serif">
    <w:altName w:val="Segoe Print"/>
    <w:panose1 w:val="00000000000000000000"/>
    <w:charset w:val="00"/>
    <w:family w:val="auto"/>
    <w:pitch w:val="default"/>
    <w:sig w:usb0="00000000" w:usb1="00000000" w:usb2="00000000" w:usb3="00000000" w:csb0="00000000" w:csb1="00000000"/>
  </w:font>
  <w:font w:name="socialshare">
    <w:altName w:val="Segoe Print"/>
    <w:panose1 w:val="00000000000000000000"/>
    <w:charset w:val="00"/>
    <w:family w:val="auto"/>
    <w:pitch w:val="default"/>
    <w:sig w:usb0="00000000" w:usb1="00000000" w:usb2="00000000" w:usb3="00000000" w:csb0="00000000" w:csb1="00000000"/>
  </w:font>
  <w:font w:name="Helvetica">
    <w:altName w:val="Aria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NlMGVkZWI0OTliYTNjODIxNjJmZjA2Mjk5YTk4MGYifQ=="/>
  </w:docVars>
  <w:rsids>
    <w:rsidRoot w:val="1777399F"/>
    <w:rsid w:val="177739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5"/>
    <w:basedOn w:val="1"/>
    <w:next w:val="1"/>
    <w:semiHidden/>
    <w:unhideWhenUsed/>
    <w:qFormat/>
    <w:uiPriority w:val="0"/>
    <w:pPr>
      <w:spacing w:before="0" w:beforeAutospacing="1" w:after="0" w:afterAutospacing="1"/>
      <w:jc w:val="left"/>
    </w:pPr>
    <w:rPr>
      <w:rFonts w:hint="eastAsia" w:ascii="宋体" w:hAnsi="宋体" w:eastAsia="宋体" w:cs="宋体"/>
      <w:b/>
      <w:bCs/>
      <w:kern w:val="0"/>
      <w:sz w:val="20"/>
      <w:szCs w:val="20"/>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441</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2024-05-28T00:46:00Z</dcterms:created>
  <dc:creator>水无鱼</dc:creator>
  <cp:lastModifiedBy>水无鱼</cp:lastModifiedBy>
  <dcterms:modified xsi:type="dcterms:W3CDTF">2024-05-28T08:09:43Z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ACAA0208C89C44E2B9BF9672B9B68E20_11</vt:lpwstr>
  </property>
</Properties>
</file>