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71"/>
        <w:gridCol w:w="2668"/>
        <w:gridCol w:w="541"/>
        <w:gridCol w:w="1277"/>
        <w:gridCol w:w="1736"/>
        <w:gridCol w:w="2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甘肃有色冶金职业技术学院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2024年第二批引进高层次和急需紧缺人才岗位及要求一览表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1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1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需求专业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引进范围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冶金工程（0806）、冶金工程（08560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全日制硕士研究生及以上学历（本科或研究生阶段须有一所为“双一流”建设高校毕业）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本硕专业一致或相近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硕士研究生35周岁及以下（1989年6月1日以后出生）；博士研究生专业不限，年龄在40周岁及以下（1984年6月1日以后出生）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材料类（0804）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A02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矿业工程（0819）、矿业工程（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085705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矿业类（0815）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A03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化学工程与技术（0817）、化工过程机械（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080706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）、化学工程（085602）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化学类（0703）、化工与制药类（0813）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计算机科学与技术（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0812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）、计算机技术（085404）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电子信息类（0807）、计算机类（0809）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A05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人工智能（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085410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）、大数据技术与工程（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085411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）、机器人工程（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085510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电子信息类（0807）、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自动化类（0808）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、计算机类（0809）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A06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机械工程（0802）、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机械工程（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085501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）、车辆工程（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085502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全日制硕士研究生及以上学历（本科或研究生阶段须有一所为“双一流”建设高校毕业）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本硕专业一致或相近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硕士研究生35周岁及以下（1989年6月1日以后出生）；博士研究生专业不限，年龄在40周岁及以下（1984年6月1日以后出生）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机械类（0802）、材料类（0804）、自动化类（0808）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A07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能源动力（0858）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能源动力类（0805）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电气类（0806）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A08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电气工程（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0808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控制科学与工程（0811）、控制工程（085406）、电气工程（085801）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电气类（0806）、自动化类（0808）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A09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软件工程（0835）、软件工程（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085405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电子信息类（0807）、计算机类（0809）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A10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研究生：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现代教育技术（045114）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教育学类（0401）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A11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网络空间安全（0839）、网络与信息安全（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085412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本科专业须为：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电子信息类（0807）、计算机类（0809）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TVlZWRlMmEwNDkxMWJmY2ViNWQyMjY3YWQ2ZDUifQ=="/>
  </w:docVars>
  <w:rsids>
    <w:rsidRoot w:val="00000000"/>
    <w:rsid w:val="6961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2024-06-26T06:54:45Z</dcterms:created>
  <dc:creator>Administrator</dc:creator>
  <cp:lastModifiedBy>only1413715606</cp:lastModifiedBy>
  <dcterms:modified xsi:type="dcterms:W3CDTF">2024-06-26T06:55:18Z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9CB06E758BA240ACBA0A8BE66F4CCCF1_12</vt:lpwstr>
  </property>
</Properties>
</file>