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33333"/>
          <w:spacing w:val="0"/>
          <w:sz w:val="37"/>
          <w:szCs w:val="37"/>
          <w:shd w:val="clear" w:fill="FFFFFF"/>
        </w:rPr>
        <w:t>叶县2024年公开招聘小学、初中和中专教师（人事代理）工作方案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ascii="仿宋_GB2312" w:hAnsi="微软雅黑" w:eastAsia="仿宋_GB2312" w:cs="仿宋_GB2312"/>
          <w:color w:val="333333"/>
          <w:spacing w:val="0"/>
          <w:sz w:val="31"/>
          <w:szCs w:val="31"/>
          <w:bdr w:val="none" w:color="auto" w:sz="0" w:space="0"/>
        </w:rPr>
        <w:t>为进一步优化教师队伍结构，</w:t>
      </w:r>
      <w:r>
        <w:rPr>
          <w:rFonts w:hint="default" w:ascii="仿宋_GB2312" w:hAnsi="微软雅黑" w:eastAsia="仿宋_GB2312" w:cs="仿宋_GB2312"/>
          <w:color w:val="333333"/>
          <w:sz w:val="31"/>
          <w:szCs w:val="31"/>
          <w:bdr w:val="none" w:color="auto" w:sz="0" w:space="0"/>
        </w:rPr>
        <w:t>推进我县教育事业均衡发展，</w:t>
      </w:r>
      <w:r>
        <w:rPr>
          <w:rFonts w:hint="default" w:ascii="仿宋_GB2312" w:hAnsi="微软雅黑" w:eastAsia="仿宋_GB2312" w:cs="仿宋_GB2312"/>
          <w:color w:val="333333"/>
          <w:spacing w:val="0"/>
          <w:sz w:val="31"/>
          <w:szCs w:val="31"/>
          <w:bdr w:val="none" w:color="auto" w:sz="0" w:space="0"/>
        </w:rPr>
        <w:t>经叶县人民政府研究，决定面向社会公开</w:t>
      </w:r>
      <w:bookmarkStart w:id="0" w:name="_GoBack"/>
      <w:bookmarkEnd w:id="0"/>
      <w:r>
        <w:rPr>
          <w:rFonts w:hint="default" w:ascii="仿宋_GB2312" w:hAnsi="微软雅黑" w:eastAsia="仿宋_GB2312" w:cs="仿宋_GB2312"/>
          <w:color w:val="333333"/>
          <w:spacing w:val="0"/>
          <w:sz w:val="31"/>
          <w:szCs w:val="31"/>
          <w:bdr w:val="none" w:color="auto" w:sz="0" w:space="0"/>
        </w:rPr>
        <w:t>招聘小学、初中和中专人事代理教师160名（非在编）。根据《中共河南省委组织部、河南省人力资源和社会保障厅关于印发〈河南省事业单位公开招聘工作规程〉的通知》（豫人社〔2015〕55号）和《叶县人民政府关于规范叶县事业单位公开招聘及编外人事代理工作的意见》（叶政文〔2018〕111号）要求，结合我县实际，经县公开招聘教师工作领导小组研究，现制定招聘方案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ascii="黑体" w:hAnsi="宋体" w:eastAsia="黑体" w:cs="黑体"/>
          <w:color w:val="333333"/>
          <w:spacing w:val="0"/>
          <w:sz w:val="31"/>
          <w:szCs w:val="31"/>
          <w:bdr w:val="none" w:color="auto" w:sz="0" w:space="0"/>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坚持德才兼备的选人标准，贯彻“公开、平等、竞争、择优”的原则，严格按照有关程序进行,确保招聘质量。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eastAsia" w:ascii="黑体" w:hAnsi="宋体" w:eastAsia="黑体" w:cs="黑体"/>
          <w:color w:val="333333"/>
          <w:spacing w:val="0"/>
          <w:sz w:val="31"/>
          <w:szCs w:val="31"/>
          <w:bdr w:val="none" w:color="auto" w:sz="0" w:space="0"/>
        </w:rPr>
        <w:t>二、招聘岗位及人数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本次计划公开招聘教师160名，其中小学教师60名、初中教师90名、中专文化课和专业课</w:t>
      </w:r>
      <w:r>
        <w:rPr>
          <w:rFonts w:hint="default" w:ascii="仿宋_GB2312" w:hAnsi="微软雅黑" w:eastAsia="仿宋_GB2312" w:cs="仿宋_GB2312"/>
          <w:color w:val="333333"/>
          <w:sz w:val="31"/>
          <w:szCs w:val="31"/>
          <w:bdr w:val="none" w:color="auto" w:sz="0" w:space="0"/>
        </w:rPr>
        <w:t>教师</w:t>
      </w:r>
      <w:r>
        <w:rPr>
          <w:rFonts w:hint="default" w:ascii="仿宋_GB2312" w:hAnsi="微软雅黑" w:eastAsia="仿宋_GB2312" w:cs="仿宋_GB2312"/>
          <w:color w:val="333333"/>
          <w:spacing w:val="0"/>
          <w:sz w:val="31"/>
          <w:szCs w:val="31"/>
          <w:bdr w:val="none" w:color="auto" w:sz="0" w:space="0"/>
        </w:rPr>
        <w:t>10名，全部办理人事代理手续（招聘学科岗位情况见附件）。根据各学校岗位实际，本次招聘的小学和初中教师全部选岗分配到各需求学校任教，新聘人员在单位的最低工作年限为5年（含试用期），5年内不允许调动工作岗位或参加其他招录（招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eastAsia" w:ascii="黑体" w:hAnsi="宋体" w:eastAsia="黑体" w:cs="黑体"/>
          <w:color w:val="333333"/>
          <w:spacing w:val="0"/>
          <w:sz w:val="31"/>
          <w:szCs w:val="31"/>
          <w:bdr w:val="none" w:color="auto" w:sz="0" w:space="0"/>
        </w:rPr>
        <w:t>三、招聘范围、对象和条件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pacing w:val="0"/>
          <w:sz w:val="31"/>
          <w:szCs w:val="31"/>
          <w:bdr w:val="none" w:color="auto" w:sz="0" w:space="0"/>
        </w:rPr>
        <w:t>（一）招聘的范围和对象：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1.公开招聘小学教师对象为普通高等学校大专及以上学历毕业生。</w:t>
      </w:r>
      <w:r>
        <w:rPr>
          <w:rFonts w:hint="default" w:ascii="仿宋_GB2312" w:hAnsi="微软雅黑" w:eastAsia="仿宋_GB2312" w:cs="仿宋_GB2312"/>
          <w:color w:val="333333"/>
          <w:spacing w:val="0"/>
          <w:sz w:val="31"/>
          <w:szCs w:val="31"/>
          <w:bdr w:val="none" w:color="auto" w:sz="0" w:space="0"/>
          <w:shd w:val="clear" w:fill="FFFFFF"/>
        </w:rPr>
        <w:t>具有相应层次的教师资格证，教师资格证专业须与报考岗位专业一致。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2.公开招聘初中教师对象为普通高等学校本科及以上学历毕业生（不含独立院校和联合办学；硕士研究生学历的，本科学历须为普通高等院校毕业），并取得相应学位。</w:t>
      </w:r>
      <w:r>
        <w:rPr>
          <w:rFonts w:hint="default" w:ascii="仿宋_GB2312" w:hAnsi="微软雅黑" w:eastAsia="仿宋_GB2312" w:cs="仿宋_GB2312"/>
          <w:color w:val="333333"/>
          <w:spacing w:val="0"/>
          <w:sz w:val="31"/>
          <w:szCs w:val="31"/>
          <w:bdr w:val="none" w:color="auto" w:sz="0" w:space="0"/>
          <w:shd w:val="clear" w:fill="FFFFFF"/>
        </w:rPr>
        <w:t>具有相应层次的教师资格证，教师资格证专业须与报考岗位专业一致。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3.公开招聘中专教师对象为</w:t>
      </w:r>
      <w:r>
        <w:rPr>
          <w:rFonts w:hint="default" w:ascii="仿宋_GB2312" w:hAnsi="微软雅黑" w:eastAsia="仿宋_GB2312" w:cs="仿宋_GB2312"/>
          <w:color w:val="333333"/>
          <w:sz w:val="31"/>
          <w:szCs w:val="31"/>
          <w:bdr w:val="none" w:color="auto" w:sz="0" w:space="0"/>
        </w:rPr>
        <w:t>普通高等院校本科及以上学历</w:t>
      </w:r>
      <w:r>
        <w:rPr>
          <w:rFonts w:hint="default" w:ascii="仿宋_GB2312" w:hAnsi="微软雅黑" w:eastAsia="仿宋_GB2312" w:cs="仿宋_GB2312"/>
          <w:color w:val="333333"/>
          <w:spacing w:val="0"/>
          <w:sz w:val="31"/>
          <w:szCs w:val="31"/>
          <w:bdr w:val="none" w:color="auto" w:sz="0" w:space="0"/>
        </w:rPr>
        <w:t>毕业生（不含独立院校和联合办学；硕士研究生学历的，本科学历须为普通高等院校毕业），</w:t>
      </w:r>
      <w:r>
        <w:rPr>
          <w:rFonts w:hint="default" w:ascii="仿宋_GB2312" w:hAnsi="微软雅黑" w:eastAsia="仿宋_GB2312" w:cs="仿宋_GB2312"/>
          <w:color w:val="333333"/>
          <w:sz w:val="31"/>
          <w:szCs w:val="31"/>
          <w:bdr w:val="none" w:color="auto" w:sz="0" w:space="0"/>
        </w:rPr>
        <w:t>并取得相应学位。具有相应层次的教师资格证（中等职业学校教师资格证书或高级中学教师资格证书，高级中学教师资格证持有者，须在录用后一年内取得中等职业学校教师资格证书），所学专业或教师资格证专业与报考岗位一致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pacing w:val="0"/>
          <w:sz w:val="31"/>
          <w:szCs w:val="31"/>
          <w:bdr w:val="none" w:color="auto" w:sz="0" w:space="0"/>
        </w:rPr>
        <w:t>（二）应聘人员必须具备下列条件：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2.遵守宪法和法律，热爱祖国，拥护中国共产党的领导；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3.具有良好的品行，热爱教育事业，能够履行《教师法》规定的义务，胜任教育教学工作；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4.须持有符合报考岗位的教师资格证；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5.身体健康，符合《河南省教师资格申请人员体格检查标准》规定的条件；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6.年龄30岁以下（1994年1月1日以后出生），研究生放宽至33岁以下（1991年1月1日以后出生）；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7.具备教师招聘的其他条件并服从安排。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pacing w:val="0"/>
          <w:sz w:val="31"/>
          <w:szCs w:val="31"/>
          <w:bdr w:val="none" w:color="auto" w:sz="0" w:space="0"/>
        </w:rPr>
        <w:t>（三）有下列情形之一者不得报考：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1.曾因犯罪受过刑事处罚、劳动教养的；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2.曾被开除公职、开除学籍的人员；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3.涉嫌违法、违纪正在接受审查的人员；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4.有国家助学贷款违约等不良信用记录的人员；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5.已被叶县招录的中小学及幼儿园在岗教师（含特岗）；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6.其他不符合招聘资格条件的。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eastAsia" w:ascii="黑体" w:hAnsi="宋体" w:eastAsia="黑体" w:cs="黑体"/>
          <w:color w:val="333333"/>
          <w:spacing w:val="0"/>
          <w:sz w:val="31"/>
          <w:szCs w:val="31"/>
          <w:bdr w:val="none" w:color="auto" w:sz="0" w:space="0"/>
        </w:rPr>
        <w:t>四、招聘的方法步骤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pacing w:val="0"/>
          <w:sz w:val="31"/>
          <w:szCs w:val="31"/>
          <w:bdr w:val="none" w:color="auto" w:sz="0" w:space="0"/>
        </w:rPr>
        <w:t>（一）报名方式及资格审查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1.报名方式和时间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本次招聘采取网上报名方式。报考人员请登陆网址http://yxzj2024.wykjnet.cn，进入网上报名系统，按相关要求提示进行报名。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报名时间：2024年7月5日9:00—7日17:00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登陆网上报名系统（http://yxzj2024.wykjnet.cn），按系统要求规范准确提交真实的个人信息并上传电子照片。每位考生只能选择一个学段学科岗位进行报名。考生网上报名时所留的联系方式应准确无误并保持通讯畅通，若因本人填报联系方式有误或其他原因而无法联系本人造成的后果由应聘者本人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2.资格初审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初审时间：2024年7月5日9:00—8日12:00。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考生在网上报名后，应及时登陆报名系统查询是否通过资格初审。审核部门根据招聘条件，在考生报名24小时内对填报的信息进行资格初审。未通过资格初审的人员，若在报名时间内可更改报考岗位；已通过资格初审的人员，不能再更改报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网上报名期间，开通咨询电话提供咨询服务，咨询电话：0375— 8058001。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3.网上缴费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（1）缴费时间：2024年7月5日9:00—8日17:00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经资格初审合格人员，须及时登陆报名系统按系统提示缴纳考务费30元。未按期缴费的视为自动放弃报考。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（2）减免考务费。农村建档立卡贫困家庭或城市低保人员可免缴笔试考务费，考生需在规定时间内提供相关材料进行办理，具体办理时间、办理方法、注意事项如下：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办理时间：2024年7月8日12：00前。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办理方法：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符合条件考生通过资格初审后不用缴费，须向指定的电子邮箱发送以下材料：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①考生本人身份证扫描件，并备注联系方式。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②享受国家最低生活保障金的城镇家庭的考生须提供其家庭所在地的县（区、市）民政部门出具的享受最低生活保障的证明和低保证明的扫描件。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③低保、农村建档立卡贫困家庭的考生凭其家庭所在地的乡（镇、街道）相关部门出具的证明和相关材料。低保、农村建档立卡贫困家庭考生须在规定时间内把所需材料扫描件发送至电子邮箱：yxgkzp2020@126.com,免缴笔试考务费咨询电话：0375-8058001（上午8:00-12:00，下午15:00-18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4.笔试加分政策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根据河南省人民政府 河南省军区《关于进一步加大大学生征集力度的意见》（豫政〔2016〕53号）精神，符合报考资格条件的退役大学生士兵，笔试成绩加10分。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符合加分政策的考生，须于2024年7月8日上午8:00—12:00）到叶县人力资源和社会保障局，填写《叶县2024年公开招聘教师加分申请表》，同时按要求提交学历、退伍证、身份证等相关材料的原件和复印件1份。逾期未提交材料者不享受笔试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5.注意事项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1）本次招聘工作，资格审查贯穿于公开招聘的全过程。考生报名时提交的信息和提供的有关材料必须真实有效，凡发现考生重复报名、考生与拟聘用的岗位所要求的资格条件不符以及提供虚假材料的，一经核实，取消其参加考试及聘用资格，所产生的一切后果由考生本人承担；并进行教师招聘工作不良行为登记，5年内不准参加我县组织的各类招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2）考生须认真阅读并全面了解叶县人民政府网、叶县2024年公开招聘教师报名系统关于本次招聘的公告内容，确定本人符合招聘岗位报名条件。如果本人不符合招聘报名条件但进行了网上报名，本人的报考资格、笔试成绩无效，已缴纳的考试费用不予退回，由此产生的一切后果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（3）报名人数与拟聘用岗位人数比例达不到3:1的，在确保竞争的前提下，经县公开招聘教师工作领导小组研究后，可适当降低开考比例。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4）此次公开招聘的招聘公告在叶县人民政府网站（http://www.yexian.gov.cn/）发布。报考者应及时关注叶县人民政府网站和招聘报名系统（网址http://yxzj2024.wykjnet.cn）公布的招聘信息，并保持所留电话通讯畅通，因个人原因造成错过重要信息影响考试及聘用的，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本次公开招聘不指定考试辅导用书，不举办也不委托任何机构举办考试辅导培训班。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pacing w:val="0"/>
          <w:sz w:val="31"/>
          <w:szCs w:val="31"/>
          <w:bdr w:val="none" w:color="auto" w:sz="0" w:space="0"/>
        </w:rPr>
        <w:t>（二）考试 </w:t>
      </w:r>
      <w:r>
        <w:rPr>
          <w:rFonts w:hint="default" w:ascii="仿宋_GB2312" w:hAnsi="微软雅黑" w:eastAsia="仿宋_GB2312" w:cs="仿宋_GB2312"/>
          <w:color w:val="333333"/>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本次公开招聘考试采用先笔试后面试的方式。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采取统一命题、统一组织、统一评分、闭卷考试的方式进行。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z w:val="31"/>
          <w:szCs w:val="31"/>
          <w:bdr w:val="none" w:color="auto" w:sz="0" w:space="0"/>
        </w:rPr>
        <w:t>笔试准考证打印时间以叶县人民政府网公告为准。未按规定时间打印笔试准考证的，视为自动放弃笔试资格。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z w:val="31"/>
          <w:szCs w:val="31"/>
          <w:bdr w:val="none" w:color="auto" w:sz="0" w:space="0"/>
        </w:rPr>
        <w:t>笔试时间、地点以笔试准考证为准，报考人员需携带本人有效身份证和笔试准考证方可进场。笔试准考证是参加笔试、面试资格复查等环节需要出示的重要凭证，考生须妥善保管。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z w:val="31"/>
          <w:szCs w:val="31"/>
          <w:bdr w:val="none" w:color="auto" w:sz="0" w:space="0"/>
        </w:rPr>
        <w:t>笔试共一场。</w:t>
      </w:r>
      <w:r>
        <w:rPr>
          <w:rFonts w:hint="default" w:ascii="仿宋_GB2312" w:hAnsi="微软雅黑" w:eastAsia="仿宋_GB2312" w:cs="仿宋_GB2312"/>
          <w:color w:val="333333"/>
          <w:spacing w:val="0"/>
          <w:sz w:val="31"/>
          <w:szCs w:val="31"/>
          <w:bdr w:val="none" w:color="auto" w:sz="0" w:space="0"/>
        </w:rPr>
        <w:t>笔试内容为教育学、心理学、综合知识或专业知识。其中报考中小学音乐、体育、美术岗位和报考中专岗位的考试教育学、心理学和综合知识；报考中小学其他学科岗位的考试教育学、心理学和专业知识。笔试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根据笔试成绩从高分到低分的顺序，按招聘岗位以1:2的比例确定面试人选。进入面试范围的人员须通过资格复审方可参加面试。资格复审时考生须提交有效身份证、毕业证、有效期内教育部学历证书电子注册备案表、教师资格证原件和复印件及个人征信证明和笔试准考证。考生未按规定时间参加资格复审或审查不合格者，取消面试资格。面试人选比例达不到1:2的岗位按照笔试成绩依次递补。实际参加面试的应试人数不能形成竞争的，应组织现有应试人员面试。考生面试成绩低于80分者不得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面试采用试讲方式进行，面试前公告试讲课程的范围，备课时通过抽签决定试讲的具体内容。面试主要考察应聘者备课、试讲、学科专业知识、教师基本素养、语言表达能力、仪表举止、心理素质等。面试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面试资格复审人员名单及资格复审相关要求在叶县人民政府网站发布。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面试的具体时间、地点等以面试通知单规定为准。应聘者参加面试时须携带本人有效身份证、笔试准考证和面试通知单。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面试通知单的打印时间以叶县人民政府网公告为准。未按规定时间打印面试通知单的，视为自动放弃面试资格。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考试总成绩=笔试成绩×40％+面试成绩×60％。笔试成绩、面试成绩、考试总成绩均计算到小数点后两位。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pacing w:val="0"/>
          <w:sz w:val="31"/>
          <w:szCs w:val="31"/>
          <w:bdr w:val="none" w:color="auto" w:sz="0" w:space="0"/>
        </w:rPr>
        <w:t>（三）体检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按照考试总成绩从高分到低分顺序等额确定体检对象（考生总成绩出现并列时面试成绩高者优先，面试成绩也相同时学历高者优先，学历也相同时师范类院校毕业生优先）。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体检按照《河南省教师资格申请人员体格检查标准》执行，体检费用自理。体检不合格者不予聘用。若体检后出现招聘岗位缺额的，可依次等额递补。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pacing w:val="0"/>
          <w:sz w:val="31"/>
          <w:szCs w:val="31"/>
          <w:bdr w:val="none" w:color="auto" w:sz="0" w:space="0"/>
        </w:rPr>
        <w:t>（四）考察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体检合格者确定为考察对象。考察内容主要是思想政治、道德品质、能力素质、现实表现、遵纪守法等方面的情况，核实其招聘过程中提交的信息和材料是否真实、准确。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考察阶段如出现自动放弃造成岗位空缺的，根据考试总成绩，从高分到低分依次递补体检及考察人选（递补只进行一次）。因考察不合格造成岗位空缺的，不再递补。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pacing w:val="0"/>
          <w:sz w:val="31"/>
          <w:szCs w:val="31"/>
          <w:bdr w:val="none" w:color="auto" w:sz="0" w:space="0"/>
        </w:rPr>
        <w:t>（五）公示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经考察合格确定的拟聘人员，由县招教工作领导小组审定后予以公示（七个工作日），接受社会监督。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 </w:t>
      </w:r>
      <w:r>
        <w:rPr>
          <w:rStyle w:val="6"/>
          <w:rFonts w:hint="default" w:ascii="仿宋_GB2312" w:hAnsi="微软雅黑" w:eastAsia="仿宋_GB2312" w:cs="仿宋_GB2312"/>
          <w:b/>
          <w:bCs/>
          <w:color w:val="333333"/>
          <w:spacing w:val="0"/>
          <w:sz w:val="31"/>
          <w:szCs w:val="31"/>
          <w:bdr w:val="none" w:color="auto" w:sz="0" w:space="0"/>
        </w:rPr>
        <w:t>（六）聘用及待遇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对拟聘结果公示期满后无异议人员，将统一组织岗前培训。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培训合格的人员由县人才交流中心办理人事代理手续，严格按照国家、省、市人事代理的相关规定享受相关待遇。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新聘用人员实行试用期制度，试用期一年。试用期间，工资福利待遇按国家有关规定执行。试用期满后由用人单位进行综合考核，考核合格者按管理权限和有关规定办理相关手续，最低服务期5年（含试用期），聘用人员与用人单位签订聘用合同，聘期内不得调动工作岗位；试用期满考核不合格者，经县公开招聘教师工作领导小组研究决定后，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eastAsia" w:ascii="黑体" w:hAnsi="宋体" w:eastAsia="黑体" w:cs="黑体"/>
          <w:color w:val="333333"/>
          <w:spacing w:val="0"/>
          <w:sz w:val="31"/>
          <w:szCs w:val="31"/>
          <w:bdr w:val="none" w:color="auto" w:sz="0" w:space="0"/>
        </w:rPr>
        <w:t>五、组织领导和纪律要求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县纪检监察部门要加强对公开招聘教师工作的监督监察，对违犯工作纪律影响招聘公平、公正进行的工作人员，将按照相关规定给予严肃处理。对应聘人员伪造、涂改证件、证明或以其他不正当手段获取应聘资格的，或在考试考核过程中作弊的，取消考试或聘用资格；对存在上述情形的已招聘人员，一经查实，解除聘用合同，予以清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为维护招聘工作的公平、公正，欢迎社会各界对本次招聘工作给予监督。监督电话：0375-8058668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本方案由叶县公开招聘教师工作领导小组负责解释。咨询电话：0375-8058001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附件：</w:t>
      </w:r>
      <w:r>
        <w:rPr>
          <w:rFonts w:hint="default" w:ascii="仿宋_GB2312" w:hAnsi="微软雅黑" w:eastAsia="仿宋_GB2312" w:cs="仿宋_GB2312"/>
          <w:color w:val="333333"/>
          <w:spacing w:val="-15"/>
          <w:sz w:val="31"/>
          <w:szCs w:val="31"/>
          <w:bdr w:val="none" w:color="auto" w:sz="0" w:space="0"/>
        </w:rPr>
        <w:t>1.叶县2024年公开招聘小学教师学科岗位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1185"/>
        <w:rPr>
          <w:rFonts w:hint="eastAsia" w:ascii="微软雅黑" w:hAnsi="微软雅黑" w:eastAsia="微软雅黑" w:cs="微软雅黑"/>
          <w:color w:val="333333"/>
        </w:rPr>
      </w:pPr>
      <w:r>
        <w:rPr>
          <w:rFonts w:hint="default" w:ascii="仿宋_GB2312" w:hAnsi="微软雅黑" w:eastAsia="仿宋_GB2312" w:cs="仿宋_GB2312"/>
          <w:color w:val="333333"/>
          <w:spacing w:val="-15"/>
          <w:sz w:val="31"/>
          <w:szCs w:val="31"/>
          <w:bdr w:val="none" w:color="auto" w:sz="0" w:space="0"/>
        </w:rPr>
        <w:t>2.叶县2024年公开招聘初中教师学科岗位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1185"/>
        <w:rPr>
          <w:rFonts w:hint="eastAsia" w:ascii="微软雅黑" w:hAnsi="微软雅黑" w:eastAsia="微软雅黑" w:cs="微软雅黑"/>
          <w:color w:val="333333"/>
        </w:rPr>
      </w:pPr>
      <w:r>
        <w:rPr>
          <w:rFonts w:hint="default" w:ascii="仿宋_GB2312" w:hAnsi="微软雅黑" w:eastAsia="仿宋_GB2312" w:cs="仿宋_GB2312"/>
          <w:color w:val="333333"/>
          <w:spacing w:val="-15"/>
          <w:sz w:val="31"/>
          <w:szCs w:val="31"/>
          <w:bdr w:val="none" w:color="auto" w:sz="0" w:space="0"/>
        </w:rPr>
        <w:t>3.叶县2024年公开招聘中专教师岗位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3810"/>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叶县公开招聘教师工作领导小组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15"/>
        <w:rPr>
          <w:rFonts w:hint="eastAsia" w:ascii="微软雅黑" w:hAnsi="微软雅黑" w:eastAsia="微软雅黑" w:cs="微软雅黑"/>
          <w:color w:val="333333"/>
        </w:rPr>
      </w:pPr>
      <w:r>
        <w:rPr>
          <w:rFonts w:hint="default" w:ascii="仿宋_GB2312" w:hAnsi="微软雅黑" w:eastAsia="仿宋_GB2312" w:cs="仿宋_GB2312"/>
          <w:color w:val="333333"/>
          <w:spacing w:val="0"/>
          <w:sz w:val="31"/>
          <w:szCs w:val="31"/>
          <w:bdr w:val="none" w:color="auto" w:sz="0" w:space="0"/>
        </w:rPr>
        <w:t>                               2024年6月 26日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color w:val="333333"/>
        </w:rPr>
      </w:pPr>
      <w:r>
        <w:rPr>
          <w:rFonts w:hint="eastAsia" w:ascii="黑体" w:hAnsi="宋体" w:eastAsia="黑体" w:cs="黑体"/>
          <w:color w:val="333333"/>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33333"/>
        </w:rPr>
      </w:pPr>
      <w:r>
        <w:rPr>
          <w:rFonts w:hint="eastAsia" w:ascii="黑体" w:hAnsi="宋体" w:eastAsia="黑体" w:cs="黑体"/>
          <w:color w:val="333333"/>
          <w:spacing w:val="0"/>
          <w:sz w:val="31"/>
          <w:szCs w:val="31"/>
          <w:bdr w:val="none" w:color="auto" w:sz="0" w:space="0"/>
        </w:rPr>
        <w:t>附件1</w:t>
      </w:r>
    </w:p>
    <w:tbl>
      <w:tblPr>
        <w:tblW w:w="904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860"/>
        <w:gridCol w:w="2295"/>
        <w:gridCol w:w="2175"/>
        <w:gridCol w:w="27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960" w:hRule="atLeast"/>
        </w:trPr>
        <w:tc>
          <w:tcPr>
            <w:tcW w:w="9045" w:type="dxa"/>
            <w:gridSpan w:val="4"/>
            <w:tcBorders>
              <w:top w:val="nil"/>
              <w:left w:val="nil"/>
              <w:bottom w:val="nil"/>
              <w:right w:val="nil"/>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color w:val="333333"/>
              </w:rPr>
            </w:pPr>
            <w:r>
              <w:rPr>
                <w:rFonts w:ascii="方正小标宋简体" w:hAnsi="方正小标宋简体" w:eastAsia="方正小标宋简体" w:cs="方正小标宋简体"/>
                <w:color w:val="333333"/>
                <w:sz w:val="36"/>
                <w:szCs w:val="36"/>
                <w:bdr w:val="none" w:color="auto" w:sz="0" w:space="0"/>
              </w:rPr>
              <w:t>叶县</w:t>
            </w:r>
            <w:r>
              <w:rPr>
                <w:rFonts w:hint="default" w:ascii="方正小标宋简体" w:hAnsi="方正小标宋简体" w:eastAsia="方正小标宋简体" w:cs="方正小标宋简体"/>
                <w:color w:val="333333"/>
                <w:sz w:val="36"/>
                <w:szCs w:val="36"/>
                <w:bdr w:val="none" w:color="auto" w:sz="0" w:space="0"/>
              </w:rPr>
              <w:t>2024年公开招聘小学教师学科岗位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20" w:hRule="atLeast"/>
        </w:trPr>
        <w:tc>
          <w:tcPr>
            <w:tcW w:w="1860"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序号</w:t>
            </w:r>
          </w:p>
        </w:tc>
        <w:tc>
          <w:tcPr>
            <w:tcW w:w="22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学科（岗位代码）</w:t>
            </w:r>
          </w:p>
        </w:tc>
        <w:tc>
          <w:tcPr>
            <w:tcW w:w="21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数 </w:t>
            </w:r>
            <w:r>
              <w:rPr>
                <w:rFonts w:hint="eastAsia" w:ascii="宋体" w:hAnsi="宋体" w:eastAsia="宋体" w:cs="宋体"/>
                <w:color w:val="333333"/>
                <w:sz w:val="28"/>
                <w:szCs w:val="28"/>
                <w:bdr w:val="none" w:color="auto" w:sz="0" w:space="0"/>
              </w:rPr>
              <w:t> </w:t>
            </w:r>
            <w:r>
              <w:rPr>
                <w:rFonts w:hint="eastAsia" w:ascii="黑体" w:hAnsi="宋体" w:eastAsia="黑体" w:cs="黑体"/>
                <w:color w:val="333333"/>
                <w:sz w:val="28"/>
                <w:szCs w:val="28"/>
                <w:bdr w:val="none" w:color="auto" w:sz="0" w:space="0"/>
              </w:rPr>
              <w:t>量</w:t>
            </w:r>
          </w:p>
        </w:tc>
        <w:tc>
          <w:tcPr>
            <w:tcW w:w="27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备 </w:t>
            </w:r>
            <w:r>
              <w:rPr>
                <w:rFonts w:hint="eastAsia" w:ascii="宋体" w:hAnsi="宋体" w:eastAsia="宋体" w:cs="宋体"/>
                <w:color w:val="333333"/>
                <w:sz w:val="28"/>
                <w:szCs w:val="28"/>
                <w:bdr w:val="none" w:color="auto" w:sz="0" w:space="0"/>
              </w:rPr>
              <w:t>   </w:t>
            </w:r>
            <w:r>
              <w:rPr>
                <w:rFonts w:hint="eastAsia" w:ascii="黑体" w:hAnsi="宋体" w:eastAsia="黑体" w:cs="黑体"/>
                <w:color w:val="333333"/>
                <w:sz w:val="28"/>
                <w:szCs w:val="28"/>
                <w:bdr w:val="none" w:color="auto" w:sz="0" w:space="0"/>
              </w:rPr>
              <w:t>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860"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ascii="仿宋" w:hAnsi="仿宋" w:eastAsia="仿宋" w:cs="仿宋"/>
                <w:color w:val="333333"/>
                <w:sz w:val="28"/>
                <w:szCs w:val="28"/>
                <w:bdr w:val="none" w:color="auto" w:sz="0" w:space="0"/>
              </w:rPr>
              <w:t>1</w:t>
            </w:r>
          </w:p>
        </w:tc>
        <w:tc>
          <w:tcPr>
            <w:tcW w:w="22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语  文（101）</w:t>
            </w:r>
          </w:p>
        </w:tc>
        <w:tc>
          <w:tcPr>
            <w:tcW w:w="21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16</w:t>
            </w:r>
          </w:p>
        </w:tc>
        <w:tc>
          <w:tcPr>
            <w:tcW w:w="2715"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860"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2</w:t>
            </w:r>
          </w:p>
        </w:tc>
        <w:tc>
          <w:tcPr>
            <w:tcW w:w="22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数  学（102）</w:t>
            </w:r>
          </w:p>
        </w:tc>
        <w:tc>
          <w:tcPr>
            <w:tcW w:w="21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16</w:t>
            </w:r>
          </w:p>
        </w:tc>
        <w:tc>
          <w:tcPr>
            <w:tcW w:w="2715"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860"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3</w:t>
            </w:r>
          </w:p>
        </w:tc>
        <w:tc>
          <w:tcPr>
            <w:tcW w:w="22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英  语（103）</w:t>
            </w:r>
          </w:p>
        </w:tc>
        <w:tc>
          <w:tcPr>
            <w:tcW w:w="21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10</w:t>
            </w:r>
          </w:p>
        </w:tc>
        <w:tc>
          <w:tcPr>
            <w:tcW w:w="2715"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860"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4</w:t>
            </w:r>
          </w:p>
        </w:tc>
        <w:tc>
          <w:tcPr>
            <w:tcW w:w="22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音  乐（104）</w:t>
            </w:r>
          </w:p>
        </w:tc>
        <w:tc>
          <w:tcPr>
            <w:tcW w:w="21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5</w:t>
            </w:r>
          </w:p>
        </w:tc>
        <w:tc>
          <w:tcPr>
            <w:tcW w:w="2715"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860"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5</w:t>
            </w:r>
          </w:p>
        </w:tc>
        <w:tc>
          <w:tcPr>
            <w:tcW w:w="22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体  育（105）</w:t>
            </w:r>
          </w:p>
        </w:tc>
        <w:tc>
          <w:tcPr>
            <w:tcW w:w="21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8</w:t>
            </w:r>
          </w:p>
        </w:tc>
        <w:tc>
          <w:tcPr>
            <w:tcW w:w="2715"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860"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6</w:t>
            </w:r>
          </w:p>
        </w:tc>
        <w:tc>
          <w:tcPr>
            <w:tcW w:w="22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美  术（106）</w:t>
            </w:r>
          </w:p>
        </w:tc>
        <w:tc>
          <w:tcPr>
            <w:tcW w:w="21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5</w:t>
            </w:r>
          </w:p>
        </w:tc>
        <w:tc>
          <w:tcPr>
            <w:tcW w:w="2715"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860"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Style w:val="6"/>
                <w:rFonts w:hint="eastAsia" w:ascii="仿宋" w:hAnsi="仿宋" w:eastAsia="仿宋" w:cs="仿宋"/>
                <w:b/>
                <w:bCs/>
                <w:color w:val="333333"/>
                <w:sz w:val="28"/>
                <w:szCs w:val="28"/>
                <w:bdr w:val="none" w:color="auto" w:sz="0" w:space="0"/>
              </w:rPr>
              <w:t>合  计</w:t>
            </w:r>
          </w:p>
        </w:tc>
        <w:tc>
          <w:tcPr>
            <w:tcW w:w="2295"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c>
          <w:tcPr>
            <w:tcW w:w="21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Style w:val="6"/>
                <w:rFonts w:hint="eastAsia" w:ascii="仿宋" w:hAnsi="仿宋" w:eastAsia="仿宋" w:cs="仿宋"/>
                <w:b/>
                <w:bCs/>
                <w:color w:val="333333"/>
                <w:sz w:val="28"/>
                <w:szCs w:val="28"/>
                <w:bdr w:val="none" w:color="auto" w:sz="0" w:space="0"/>
              </w:rPr>
              <w:t>60</w:t>
            </w:r>
          </w:p>
        </w:tc>
        <w:tc>
          <w:tcPr>
            <w:tcW w:w="271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33333"/>
        </w:rPr>
      </w:pPr>
      <w:r>
        <w:rPr>
          <w:rFonts w:hint="eastAsia" w:ascii="黑体" w:hAnsi="宋体" w:eastAsia="黑体" w:cs="黑体"/>
          <w:color w:val="666666"/>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333333"/>
        </w:rPr>
      </w:pPr>
      <w:r>
        <w:rPr>
          <w:rFonts w:hint="eastAsia" w:ascii="黑体" w:hAnsi="宋体" w:eastAsia="黑体" w:cs="黑体"/>
          <w:color w:val="333333"/>
          <w:spacing w:val="0"/>
          <w:sz w:val="31"/>
          <w:szCs w:val="31"/>
          <w:bdr w:val="none" w:color="auto" w:sz="0" w:space="0"/>
        </w:rPr>
        <w:t>附件2</w:t>
      </w:r>
    </w:p>
    <w:tbl>
      <w:tblPr>
        <w:tblW w:w="873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515"/>
        <w:gridCol w:w="2475"/>
        <w:gridCol w:w="1995"/>
        <w:gridCol w:w="27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8730" w:type="dxa"/>
            <w:gridSpan w:val="4"/>
            <w:tcBorders>
              <w:top w:val="nil"/>
              <w:left w:val="nil"/>
              <w:bottom w:val="nil"/>
              <w:right w:val="nil"/>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default" w:ascii="方正小标宋简体" w:hAnsi="方正小标宋简体" w:eastAsia="方正小标宋简体" w:cs="方正小标宋简体"/>
                <w:color w:val="333333"/>
                <w:sz w:val="36"/>
                <w:szCs w:val="36"/>
                <w:bdr w:val="none" w:color="auto" w:sz="0" w:space="0"/>
              </w:rPr>
              <w:t>叶县2024年公开招聘初中教师学科岗位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2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序号</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学 科（岗位代码）</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数 </w:t>
            </w:r>
            <w:r>
              <w:rPr>
                <w:rFonts w:hint="eastAsia" w:ascii="宋体" w:hAnsi="宋体" w:eastAsia="宋体" w:cs="宋体"/>
                <w:color w:val="333333"/>
                <w:sz w:val="28"/>
                <w:szCs w:val="28"/>
                <w:bdr w:val="none" w:color="auto" w:sz="0" w:space="0"/>
              </w:rPr>
              <w:t> </w:t>
            </w:r>
            <w:r>
              <w:rPr>
                <w:rFonts w:hint="eastAsia" w:ascii="黑体" w:hAnsi="宋体" w:eastAsia="黑体" w:cs="黑体"/>
                <w:color w:val="333333"/>
                <w:sz w:val="28"/>
                <w:szCs w:val="28"/>
                <w:bdr w:val="none" w:color="auto" w:sz="0" w:space="0"/>
              </w:rPr>
              <w:t>量</w:t>
            </w:r>
          </w:p>
        </w:tc>
        <w:tc>
          <w:tcPr>
            <w:tcW w:w="274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备 </w:t>
            </w:r>
            <w:r>
              <w:rPr>
                <w:rFonts w:hint="eastAsia" w:ascii="宋体" w:hAnsi="宋体" w:eastAsia="宋体" w:cs="宋体"/>
                <w:color w:val="333333"/>
                <w:sz w:val="28"/>
                <w:szCs w:val="28"/>
                <w:bdr w:val="none" w:color="auto" w:sz="0" w:space="0"/>
              </w:rPr>
              <w:t>   </w:t>
            </w:r>
            <w:r>
              <w:rPr>
                <w:rFonts w:hint="eastAsia" w:ascii="黑体" w:hAnsi="宋体" w:eastAsia="黑体" w:cs="黑体"/>
                <w:color w:val="333333"/>
                <w:sz w:val="28"/>
                <w:szCs w:val="28"/>
                <w:bdr w:val="none" w:color="auto" w:sz="0" w:space="0"/>
              </w:rPr>
              <w:t>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1</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语  文（201）</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20</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2</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数  学（202）</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18</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3</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英  语（203）</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18</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4</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物  理（204）</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8</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5</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化  学（205）</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5</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6</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政  治（206）</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4</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7</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历  史（207）</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4</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8</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地  理（208）</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4</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9</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生  物（209）</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4</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151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10</w:t>
            </w:r>
          </w:p>
        </w:tc>
        <w:tc>
          <w:tcPr>
            <w:tcW w:w="247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体  育（210）</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Fonts w:hint="eastAsia" w:ascii="仿宋" w:hAnsi="仿宋" w:eastAsia="仿宋" w:cs="仿宋"/>
                <w:color w:val="333333"/>
                <w:sz w:val="28"/>
                <w:szCs w:val="28"/>
                <w:bdr w:val="none" w:color="auto" w:sz="0" w:space="0"/>
              </w:rPr>
              <w:t>5</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trPr>
        <w:tc>
          <w:tcPr>
            <w:tcW w:w="3990" w:type="dxa"/>
            <w:gridSpan w:val="2"/>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Style w:val="6"/>
                <w:rFonts w:hint="eastAsia" w:ascii="仿宋" w:hAnsi="仿宋" w:eastAsia="仿宋" w:cs="仿宋"/>
                <w:b/>
                <w:bCs/>
                <w:color w:val="333333"/>
                <w:sz w:val="28"/>
                <w:szCs w:val="28"/>
                <w:bdr w:val="none" w:color="auto" w:sz="0" w:space="0"/>
              </w:rPr>
              <w:t>合  计</w:t>
            </w:r>
          </w:p>
        </w:tc>
        <w:tc>
          <w:tcPr>
            <w:tcW w:w="1995" w:type="dxa"/>
            <w:tcBorders>
              <w:top w:val="nil"/>
              <w:left w:val="nil"/>
              <w:bottom w:val="nil"/>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rPr>
            </w:pPr>
            <w:r>
              <w:rPr>
                <w:rStyle w:val="6"/>
                <w:rFonts w:hint="eastAsia" w:ascii="仿宋" w:hAnsi="仿宋" w:eastAsia="仿宋" w:cs="仿宋"/>
                <w:b/>
                <w:bCs/>
                <w:color w:val="333333"/>
                <w:sz w:val="28"/>
                <w:szCs w:val="28"/>
                <w:bdr w:val="none" w:color="auto" w:sz="0" w:space="0"/>
              </w:rPr>
              <w:t>90</w:t>
            </w:r>
          </w:p>
        </w:tc>
        <w:tc>
          <w:tcPr>
            <w:tcW w:w="2745" w:type="dxa"/>
            <w:tcBorders>
              <w:top w:val="nil"/>
              <w:left w:val="nil"/>
              <w:bottom w:val="nil"/>
              <w:right w:val="nil"/>
            </w:tcBorders>
            <w:shd w:val="clear"/>
            <w:tcMar>
              <w:left w:w="105"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30"/>
        <w:rPr>
          <w:rFonts w:hint="eastAsia" w:ascii="微软雅黑" w:hAnsi="微软雅黑" w:eastAsia="微软雅黑" w:cs="微软雅黑"/>
          <w:color w:val="333333"/>
        </w:rPr>
      </w:pPr>
      <w:r>
        <w:rPr>
          <w:rFonts w:hint="eastAsia" w:ascii="黑体" w:hAnsi="宋体" w:eastAsia="黑体" w:cs="黑体"/>
          <w:color w:val="666666"/>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30"/>
        <w:rPr>
          <w:rFonts w:hint="eastAsia" w:ascii="微软雅黑" w:hAnsi="微软雅黑" w:eastAsia="微软雅黑" w:cs="微软雅黑"/>
          <w:color w:val="333333"/>
        </w:rPr>
      </w:pPr>
      <w:r>
        <w:rPr>
          <w:rFonts w:hint="eastAsia" w:ascii="黑体" w:hAnsi="宋体" w:eastAsia="黑体" w:cs="黑体"/>
          <w:color w:val="333333"/>
          <w:spacing w:val="0"/>
          <w:sz w:val="31"/>
          <w:szCs w:val="31"/>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30"/>
        <w:jc w:val="center"/>
        <w:rPr>
          <w:rFonts w:hint="eastAsia" w:ascii="微软雅黑" w:hAnsi="微软雅黑" w:eastAsia="微软雅黑" w:cs="微软雅黑"/>
          <w:color w:val="333333"/>
        </w:rPr>
      </w:pPr>
      <w:r>
        <w:rPr>
          <w:rFonts w:hint="default" w:ascii="方正小标宋简体" w:hAnsi="方正小标宋简体" w:eastAsia="方正小标宋简体" w:cs="方正小标宋简体"/>
          <w:color w:val="333333"/>
          <w:spacing w:val="-15"/>
          <w:sz w:val="36"/>
          <w:szCs w:val="36"/>
          <w:bdr w:val="none" w:color="auto" w:sz="0" w:space="0"/>
          <w:shd w:val="clear" w:fill="FFFFFF"/>
        </w:rPr>
        <w:t>叶县2024年公开招聘中专教师岗位</w:t>
      </w:r>
    </w:p>
    <w:tbl>
      <w:tblPr>
        <w:tblW w:w="880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262"/>
        <w:gridCol w:w="2840"/>
        <w:gridCol w:w="1503"/>
        <w:gridCol w:w="3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870" w:hRule="atLeast"/>
        </w:trPr>
        <w:tc>
          <w:tcPr>
            <w:tcW w:w="126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类别</w:t>
            </w:r>
          </w:p>
        </w:tc>
        <w:tc>
          <w:tcPr>
            <w:tcW w:w="283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学科</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岗位设置</w:t>
            </w:r>
          </w:p>
        </w:tc>
        <w:tc>
          <w:tcPr>
            <w:tcW w:w="319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eastAsia" w:ascii="黑体" w:hAnsi="宋体" w:eastAsia="黑体" w:cs="黑体"/>
                <w:color w:val="333333"/>
                <w:sz w:val="28"/>
                <w:szCs w:val="28"/>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5" w:hRule="atLeast"/>
        </w:trPr>
        <w:tc>
          <w:tcPr>
            <w:tcW w:w="1260" w:type="dxa"/>
            <w:vMerge w:val="restart"/>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z w:val="28"/>
                <w:szCs w:val="28"/>
                <w:bdr w:val="none" w:color="auto" w:sz="0" w:space="0"/>
              </w:rPr>
              <w:t>文化课  教师</w:t>
            </w:r>
          </w:p>
        </w:tc>
        <w:tc>
          <w:tcPr>
            <w:tcW w:w="283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语文（301）</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2</w:t>
            </w:r>
          </w:p>
        </w:tc>
        <w:tc>
          <w:tcPr>
            <w:tcW w:w="3195" w:type="dxa"/>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5" w:hRule="atLeast"/>
        </w:trPr>
        <w:tc>
          <w:tcPr>
            <w:tcW w:w="1260" w:type="dxa"/>
            <w:vMerge w:val="continue"/>
            <w:tcBorders>
              <w:top w:val="nil"/>
              <w:left w:val="nil"/>
              <w:bottom w:val="nil"/>
              <w:right w:val="nil"/>
            </w:tcBorders>
            <w:shd w:val="clear"/>
            <w:tcMar>
              <w:top w:w="15" w:type="dxa"/>
              <w:left w:w="15" w:type="dxa"/>
              <w:bottom w:w="15" w:type="dxa"/>
              <w:right w:w="15" w:type="dxa"/>
            </w:tcMar>
            <w:vAlign w:val="center"/>
          </w:tcPr>
          <w:p>
            <w:pPr>
              <w:rPr>
                <w:rFonts w:hint="eastAsia" w:ascii="微软雅黑" w:hAnsi="微软雅黑" w:eastAsia="微软雅黑" w:cs="微软雅黑"/>
                <w:color w:val="333333"/>
                <w:sz w:val="24"/>
                <w:szCs w:val="24"/>
              </w:rPr>
            </w:pPr>
          </w:p>
        </w:tc>
        <w:tc>
          <w:tcPr>
            <w:tcW w:w="283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数学（302）</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2</w:t>
            </w:r>
          </w:p>
        </w:tc>
        <w:tc>
          <w:tcPr>
            <w:tcW w:w="3195" w:type="dxa"/>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5" w:hRule="atLeast"/>
        </w:trPr>
        <w:tc>
          <w:tcPr>
            <w:tcW w:w="1260" w:type="dxa"/>
            <w:vMerge w:val="continue"/>
            <w:tcBorders>
              <w:top w:val="nil"/>
              <w:left w:val="nil"/>
              <w:bottom w:val="nil"/>
              <w:right w:val="nil"/>
            </w:tcBorders>
            <w:shd w:val="clear"/>
            <w:tcMar>
              <w:top w:w="15" w:type="dxa"/>
              <w:left w:w="15" w:type="dxa"/>
              <w:bottom w:w="15" w:type="dxa"/>
              <w:right w:w="15" w:type="dxa"/>
            </w:tcMar>
            <w:vAlign w:val="center"/>
          </w:tcPr>
          <w:p>
            <w:pPr>
              <w:rPr>
                <w:rFonts w:hint="eastAsia" w:ascii="微软雅黑" w:hAnsi="微软雅黑" w:eastAsia="微软雅黑" w:cs="微软雅黑"/>
                <w:color w:val="333333"/>
                <w:sz w:val="24"/>
                <w:szCs w:val="24"/>
              </w:rPr>
            </w:pPr>
          </w:p>
        </w:tc>
        <w:tc>
          <w:tcPr>
            <w:tcW w:w="283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英语（303）</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2</w:t>
            </w:r>
          </w:p>
        </w:tc>
        <w:tc>
          <w:tcPr>
            <w:tcW w:w="3195" w:type="dxa"/>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5" w:hRule="atLeast"/>
        </w:trPr>
        <w:tc>
          <w:tcPr>
            <w:tcW w:w="1260" w:type="dxa"/>
            <w:vMerge w:val="restart"/>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z w:val="28"/>
                <w:szCs w:val="28"/>
                <w:bdr w:val="none" w:color="auto" w:sz="0" w:space="0"/>
              </w:rPr>
              <w:t>专业课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Style w:val="6"/>
                <w:rFonts w:hint="default" w:ascii="仿宋_GB2312" w:hAnsi="微软雅黑" w:eastAsia="仿宋_GB2312" w:cs="仿宋_GB2312"/>
                <w:b/>
                <w:bCs/>
                <w:color w:val="333333"/>
                <w:sz w:val="28"/>
                <w:szCs w:val="28"/>
                <w:bdr w:val="none" w:color="auto" w:sz="0" w:space="0"/>
              </w:rPr>
              <w:t>教师</w:t>
            </w:r>
          </w:p>
        </w:tc>
        <w:tc>
          <w:tcPr>
            <w:tcW w:w="283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体育类（304）</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1</w:t>
            </w:r>
          </w:p>
        </w:tc>
        <w:tc>
          <w:tcPr>
            <w:tcW w:w="3195" w:type="dxa"/>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5" w:hRule="atLeast"/>
        </w:trPr>
        <w:tc>
          <w:tcPr>
            <w:tcW w:w="1260" w:type="dxa"/>
            <w:vMerge w:val="continue"/>
            <w:tcBorders>
              <w:top w:val="nil"/>
              <w:left w:val="nil"/>
              <w:bottom w:val="nil"/>
              <w:right w:val="nil"/>
            </w:tcBorders>
            <w:shd w:val="clear"/>
            <w:tcMar>
              <w:top w:w="15" w:type="dxa"/>
              <w:left w:w="15" w:type="dxa"/>
              <w:bottom w:w="15" w:type="dxa"/>
              <w:right w:w="15" w:type="dxa"/>
            </w:tcMar>
            <w:vAlign w:val="center"/>
          </w:tcPr>
          <w:p>
            <w:pPr>
              <w:rPr>
                <w:rFonts w:hint="eastAsia" w:ascii="微软雅黑" w:hAnsi="微软雅黑" w:eastAsia="微软雅黑" w:cs="微软雅黑"/>
                <w:color w:val="333333"/>
                <w:sz w:val="24"/>
                <w:szCs w:val="24"/>
              </w:rPr>
            </w:pPr>
          </w:p>
        </w:tc>
        <w:tc>
          <w:tcPr>
            <w:tcW w:w="283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计算机类（305）</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1</w:t>
            </w:r>
          </w:p>
        </w:tc>
        <w:tc>
          <w:tcPr>
            <w:tcW w:w="3195" w:type="dxa"/>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60" w:type="dxa"/>
            <w:vMerge w:val="continue"/>
            <w:tcBorders>
              <w:top w:val="nil"/>
              <w:left w:val="nil"/>
              <w:bottom w:val="nil"/>
              <w:right w:val="nil"/>
            </w:tcBorders>
            <w:shd w:val="clear"/>
            <w:tcMar>
              <w:top w:w="15" w:type="dxa"/>
              <w:left w:w="15" w:type="dxa"/>
              <w:bottom w:w="15" w:type="dxa"/>
              <w:right w:w="15" w:type="dxa"/>
            </w:tcMar>
            <w:vAlign w:val="center"/>
          </w:tcPr>
          <w:p>
            <w:pPr>
              <w:rPr>
                <w:rFonts w:hint="eastAsia" w:ascii="微软雅黑" w:hAnsi="微软雅黑" w:eastAsia="微软雅黑" w:cs="微软雅黑"/>
                <w:color w:val="333333"/>
                <w:sz w:val="24"/>
                <w:szCs w:val="24"/>
              </w:rPr>
            </w:pPr>
          </w:p>
        </w:tc>
        <w:tc>
          <w:tcPr>
            <w:tcW w:w="283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机电类（306）</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1</w:t>
            </w:r>
          </w:p>
        </w:tc>
        <w:tc>
          <w:tcPr>
            <w:tcW w:w="3195" w:type="dxa"/>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60" w:type="dxa"/>
            <w:vMerge w:val="continue"/>
            <w:tcBorders>
              <w:top w:val="nil"/>
              <w:left w:val="nil"/>
              <w:bottom w:val="nil"/>
              <w:right w:val="nil"/>
            </w:tcBorders>
            <w:shd w:val="clear"/>
            <w:tcMar>
              <w:top w:w="15" w:type="dxa"/>
              <w:left w:w="15" w:type="dxa"/>
              <w:bottom w:w="15" w:type="dxa"/>
              <w:right w:w="15" w:type="dxa"/>
            </w:tcMar>
            <w:vAlign w:val="center"/>
          </w:tcPr>
          <w:p>
            <w:pPr>
              <w:rPr>
                <w:rFonts w:hint="eastAsia" w:ascii="微软雅黑" w:hAnsi="微软雅黑" w:eastAsia="微软雅黑" w:cs="微软雅黑"/>
                <w:color w:val="333333"/>
                <w:sz w:val="24"/>
                <w:szCs w:val="24"/>
              </w:rPr>
            </w:pPr>
          </w:p>
        </w:tc>
        <w:tc>
          <w:tcPr>
            <w:tcW w:w="2835"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养殖类（307）</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1</w:t>
            </w:r>
          </w:p>
        </w:tc>
        <w:tc>
          <w:tcPr>
            <w:tcW w:w="3195" w:type="dxa"/>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095" w:type="dxa"/>
            <w:gridSpan w:val="2"/>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合计</w:t>
            </w:r>
          </w:p>
        </w:tc>
        <w:tc>
          <w:tcPr>
            <w:tcW w:w="1500" w:type="dxa"/>
            <w:tcBorders>
              <w:top w:val="nil"/>
              <w:left w:val="nil"/>
              <w:bottom w:val="nil"/>
              <w:right w:val="nil"/>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微软雅黑" w:hAnsi="微软雅黑" w:eastAsia="微软雅黑" w:cs="微软雅黑"/>
                <w:color w:val="333333"/>
              </w:rPr>
            </w:pPr>
            <w:r>
              <w:rPr>
                <w:rFonts w:hint="default" w:ascii="仿宋_GB2312" w:hAnsi="微软雅黑" w:eastAsia="仿宋_GB2312" w:cs="仿宋_GB2312"/>
                <w:color w:val="333333"/>
                <w:sz w:val="28"/>
                <w:szCs w:val="28"/>
                <w:bdr w:val="none" w:color="auto" w:sz="0" w:space="0"/>
              </w:rPr>
              <w:t>10</w:t>
            </w:r>
          </w:p>
        </w:tc>
        <w:tc>
          <w:tcPr>
            <w:tcW w:w="3195" w:type="dxa"/>
            <w:tcBorders>
              <w:top w:val="nil"/>
              <w:left w:val="nil"/>
              <w:bottom w:val="nil"/>
              <w:right w:val="nil"/>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333333"/>
        </w:rPr>
      </w:pPr>
    </w:p>
    <w:p>
      <w:pPr>
        <w:rPr>
          <w:rFonts w:hint="eastAsia" w:ascii="微软雅黑" w:hAnsi="微软雅黑" w:eastAsia="微软雅黑" w:cs="微软雅黑"/>
          <w:b/>
          <w:bCs/>
          <w:i w:val="0"/>
          <w:iCs w:val="0"/>
          <w:caps w:val="0"/>
          <w:color w:val="333333"/>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58005071"/>
    <w:rsid w:val="5800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2024-06-29T11:19:00Z</dcterms:created>
  <dc:creator>Administrator</dc:creator>
  <cp:lastModifiedBy>Administrator</cp:lastModifiedBy>
  <dcterms:modified xsi:type="dcterms:W3CDTF">2024-06-29T12:11:00Z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CBCCE802151B44C9A1D59CA99FA03EE6_11</vt:lpwstr>
  </property>
</Properties>
</file>