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承诺书</w:t>
      </w: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本人参加2024年泉州市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直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部分公办学校专项公开招聘编制内新任教师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考试，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如中学语文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教师资格证书，并按规定的时间将教师资格证书及普通话等级证书原件、复印件送交泉州教育局教师工作科复审。如未能按时提供，本人愿自动放弃应聘该岗位。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Footer Char"/>
    <w:basedOn w:val="4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2020-09-08T09:46:00Z</dcterms:created>
  <dc:creator>PC</dc:creator>
  <cp:lastModifiedBy>许美玉</cp:lastModifiedBy>
  <cp:lastPrinted>2022-11-28T11:46:00Z</cp:lastPrinted>
  <dcterms:modified xsi:type="dcterms:W3CDTF">2024-06-24T02:42:48Z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D6403F2ED6564547BE4C15EDC524D26F_13</vt:lpwstr>
  </property>
</Properties>
</file>