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79" w:tblpY="519"/>
        <w:tblOverlap w:val="never"/>
        <w:tblW w:w="86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2439"/>
        <w:gridCol w:w="155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36"/>
                <w:szCs w:val="36"/>
              </w:rPr>
            </w:pPr>
            <w:bookmarkStart w:id="1" w:name="_GoBack"/>
            <w:bookmarkStart w:id="0" w:name="_Hlk173513267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宣恩县2024年县外教师选调学科计划表</w:t>
            </w:r>
            <w:bookmarkEnd w:id="1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选调单位</w:t>
            </w:r>
          </w:p>
        </w:tc>
        <w:tc>
          <w:tcPr>
            <w:tcW w:w="5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选调岗位及学科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学段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学科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语文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高中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数学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地理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 xml:space="preserve">历史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宣恩县教育局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zRhZWE0ZjNjYWExZjZmNmU4MGJiOTFiM2YwZTAifQ=="/>
  </w:docVars>
  <w:rsids>
    <w:rsidRoot w:val="45E449CB"/>
    <w:rsid w:val="45E4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2024-08-02T14:03:00Z</dcterms:created>
  <dc:creator>侯春桃</dc:creator>
  <cp:lastModifiedBy>侯春桃</cp:lastModifiedBy>
  <dcterms:modified xsi:type="dcterms:W3CDTF">2024-08-02T14:03:57Z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9FA1C1DCD7A444C3AB8A06FE016E1212_11</vt:lpwstr>
  </property>
</Properties>
</file>