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939911">
      <w:pPr>
        <w:spacing w:before="156" w:beforeLines="50" w:after="312" w:afterLines="100" w:line="300" w:lineRule="auto"/>
        <w:jc w:val="center"/>
        <w:rPr>
          <w:rFonts w:ascii="黑体" w:hAnsi="黑体" w:eastAsia="黑体"/>
          <w:b/>
          <w:sz w:val="44"/>
          <w:szCs w:val="44"/>
        </w:rPr>
      </w:pPr>
      <w:r>
        <w:rPr>
          <w:rFonts w:hint="eastAsia" w:ascii="黑体" w:hAnsi="黑体" w:eastAsia="黑体"/>
          <w:b/>
          <w:sz w:val="44"/>
          <w:szCs w:val="44"/>
        </w:rPr>
        <w:t>202</w:t>
      </w:r>
      <w:r>
        <w:rPr>
          <w:rFonts w:hint="eastAsia" w:ascii="黑体" w:hAnsi="黑体" w:eastAsia="黑体"/>
          <w:b/>
          <w:sz w:val="44"/>
          <w:szCs w:val="44"/>
          <w:lang w:val="en-US" w:eastAsia="zh-CN"/>
        </w:rPr>
        <w:t>5</w:t>
      </w:r>
      <w:r>
        <w:rPr>
          <w:rFonts w:hint="eastAsia" w:ascii="黑体" w:hAnsi="黑体" w:eastAsia="黑体"/>
          <w:b/>
          <w:sz w:val="44"/>
          <w:szCs w:val="44"/>
        </w:rPr>
        <w:t>年宁波财经学院高层次人才引进类型、要求和待遇</w:t>
      </w:r>
    </w:p>
    <w:p w14:paraId="0E34AF78">
      <w:pPr>
        <w:ind w:firstLine="640" w:firstLineChars="200"/>
        <w:rPr>
          <w:rFonts w:ascii="黑体" w:hAnsi="黑体" w:eastAsia="黑体"/>
          <w:sz w:val="32"/>
          <w:szCs w:val="32"/>
        </w:rPr>
      </w:pPr>
      <w:r>
        <w:rPr>
          <w:rFonts w:hint="eastAsia" w:ascii="黑体" w:hAnsi="黑体" w:eastAsia="黑体"/>
          <w:sz w:val="32"/>
          <w:szCs w:val="32"/>
        </w:rPr>
        <w:t>一、引进人才类型与应聘条件</w:t>
      </w:r>
    </w:p>
    <w:p w14:paraId="59C79D87">
      <w:pPr>
        <w:ind w:firstLine="640" w:firstLineChars="200"/>
        <w:rPr>
          <w:rFonts w:ascii="楷体_GB2312" w:hAnsi="宋体" w:eastAsia="楷体_GB2312"/>
          <w:sz w:val="32"/>
          <w:szCs w:val="32"/>
        </w:rPr>
      </w:pPr>
      <w:r>
        <w:rPr>
          <w:rFonts w:hint="eastAsia" w:ascii="楷体_GB2312" w:hAnsi="宋体" w:eastAsia="楷体_GB2312"/>
          <w:sz w:val="32"/>
          <w:szCs w:val="32"/>
        </w:rPr>
        <w:t>（一）引进人才的类型</w:t>
      </w:r>
    </w:p>
    <w:p w14:paraId="33ED86E5">
      <w:pPr>
        <w:ind w:firstLine="640" w:firstLineChars="200"/>
        <w:rPr>
          <w:rFonts w:ascii="仿宋_GB2312" w:hAnsi="宋体" w:eastAsia="仿宋_GB2312"/>
          <w:sz w:val="32"/>
          <w:szCs w:val="32"/>
        </w:rPr>
      </w:pPr>
      <w:r>
        <w:rPr>
          <w:rFonts w:hint="eastAsia" w:ascii="仿宋_GB2312" w:hAnsi="宋体" w:eastAsia="仿宋_GB2312"/>
          <w:sz w:val="32"/>
          <w:szCs w:val="32"/>
        </w:rPr>
        <w:t>学校引进的高层次人才分为以下五类：</w:t>
      </w:r>
    </w:p>
    <w:p w14:paraId="0F39E8C6">
      <w:pPr>
        <w:ind w:firstLine="640" w:firstLineChars="200"/>
        <w:rPr>
          <w:rFonts w:ascii="仿宋_GB2312" w:hAnsi="宋体" w:eastAsia="仿宋_GB2312"/>
          <w:sz w:val="32"/>
          <w:szCs w:val="32"/>
        </w:rPr>
      </w:pPr>
      <w:r>
        <w:rPr>
          <w:rFonts w:hint="eastAsia" w:ascii="仿宋_GB2312" w:hAnsi="宋体" w:eastAsia="仿宋_GB2312"/>
          <w:sz w:val="32"/>
          <w:szCs w:val="32"/>
        </w:rPr>
        <w:t>第一类：学术领军人才（A1、A2）；</w:t>
      </w:r>
    </w:p>
    <w:p w14:paraId="26B09B1D">
      <w:pPr>
        <w:ind w:firstLine="640" w:firstLineChars="200"/>
        <w:rPr>
          <w:rFonts w:ascii="仿宋_GB2312" w:hAnsi="宋体" w:eastAsia="仿宋_GB2312"/>
          <w:sz w:val="32"/>
          <w:szCs w:val="32"/>
        </w:rPr>
      </w:pPr>
      <w:r>
        <w:rPr>
          <w:rFonts w:hint="eastAsia" w:ascii="仿宋_GB2312" w:hAnsi="宋体" w:eastAsia="仿宋_GB2312"/>
          <w:sz w:val="32"/>
          <w:szCs w:val="32"/>
        </w:rPr>
        <w:t>第二类：学术带头人（B）；</w:t>
      </w:r>
    </w:p>
    <w:p w14:paraId="46180DCE">
      <w:pPr>
        <w:ind w:firstLine="640" w:firstLineChars="200"/>
        <w:rPr>
          <w:rFonts w:ascii="仿宋_GB2312" w:hAnsi="宋体" w:eastAsia="仿宋_GB2312"/>
          <w:sz w:val="32"/>
          <w:szCs w:val="32"/>
        </w:rPr>
      </w:pPr>
      <w:r>
        <w:rPr>
          <w:rFonts w:hint="eastAsia" w:ascii="仿宋_GB2312" w:hAnsi="宋体" w:eastAsia="仿宋_GB2312"/>
          <w:sz w:val="32"/>
          <w:szCs w:val="32"/>
        </w:rPr>
        <w:t>第三类：学术骨干（C1、C2）；</w:t>
      </w:r>
      <w:bookmarkStart w:id="0" w:name="OLE_LINK8"/>
      <w:bookmarkStart w:id="1" w:name="OLE_LINK9"/>
    </w:p>
    <w:p w14:paraId="44B45D28">
      <w:pPr>
        <w:ind w:firstLine="640" w:firstLineChars="200"/>
        <w:rPr>
          <w:rFonts w:ascii="仿宋_GB2312" w:hAnsi="宋体" w:eastAsia="仿宋_GB2312"/>
          <w:sz w:val="32"/>
          <w:szCs w:val="32"/>
        </w:rPr>
      </w:pPr>
      <w:r>
        <w:rPr>
          <w:rFonts w:hint="eastAsia" w:ascii="仿宋_GB2312" w:hAnsi="宋体" w:eastAsia="仿宋_GB2312"/>
          <w:sz w:val="32"/>
          <w:szCs w:val="32"/>
        </w:rPr>
        <w:t>第四类：优秀博士（D）；</w:t>
      </w:r>
      <w:bookmarkEnd w:id="0"/>
      <w:bookmarkEnd w:id="1"/>
    </w:p>
    <w:p w14:paraId="1D9897F2">
      <w:pPr>
        <w:ind w:firstLine="640" w:firstLineChars="200"/>
        <w:rPr>
          <w:rFonts w:ascii="仿宋_GB2312" w:hAnsi="宋体" w:eastAsia="仿宋_GB2312"/>
          <w:sz w:val="32"/>
          <w:szCs w:val="32"/>
        </w:rPr>
      </w:pPr>
      <w:r>
        <w:rPr>
          <w:rFonts w:hint="eastAsia" w:ascii="仿宋_GB2312" w:hAnsi="宋体" w:eastAsia="仿宋_GB2312"/>
          <w:sz w:val="32"/>
          <w:szCs w:val="32"/>
        </w:rPr>
        <w:t>第五类：紧缺人才（E）。</w:t>
      </w:r>
    </w:p>
    <w:p w14:paraId="02135072">
      <w:pPr>
        <w:ind w:firstLine="640" w:firstLineChars="200"/>
        <w:rPr>
          <w:rFonts w:ascii="楷体_GB2312" w:hAnsi="宋体" w:eastAsia="楷体_GB2312"/>
          <w:sz w:val="32"/>
          <w:szCs w:val="32"/>
        </w:rPr>
      </w:pPr>
      <w:r>
        <w:rPr>
          <w:rFonts w:hint="eastAsia" w:ascii="楷体_GB2312" w:hAnsi="宋体" w:eastAsia="楷体_GB2312"/>
          <w:sz w:val="32"/>
          <w:szCs w:val="32"/>
        </w:rPr>
        <w:t>（二）基本应聘条件</w:t>
      </w:r>
    </w:p>
    <w:p w14:paraId="5C0114F6">
      <w:pPr>
        <w:ind w:firstLine="640" w:firstLineChars="200"/>
        <w:rPr>
          <w:rFonts w:ascii="仿宋_GB2312" w:hAnsi="宋体" w:eastAsia="仿宋_GB2312"/>
          <w:sz w:val="32"/>
          <w:szCs w:val="32"/>
        </w:rPr>
      </w:pPr>
      <w:r>
        <w:rPr>
          <w:rFonts w:hint="eastAsia" w:ascii="仿宋_GB2312" w:hAnsi="宋体" w:eastAsia="仿宋_GB2312"/>
          <w:sz w:val="32"/>
          <w:szCs w:val="32"/>
        </w:rPr>
        <w:t>坚持正确政治方向，思想素质好；身心健康，热爱学校的教育事业；师德高尚；具有较好的沟通交流和团队协作精神；具有较强的教学、科研或管理能力。</w:t>
      </w:r>
    </w:p>
    <w:p w14:paraId="24B2B31D">
      <w:pPr>
        <w:ind w:firstLine="640" w:firstLineChars="200"/>
        <w:rPr>
          <w:rFonts w:ascii="楷体_GB2312" w:hAnsi="宋体" w:eastAsia="楷体_GB2312"/>
          <w:sz w:val="32"/>
          <w:szCs w:val="32"/>
        </w:rPr>
      </w:pPr>
      <w:r>
        <w:rPr>
          <w:rFonts w:hint="eastAsia" w:ascii="楷体_GB2312" w:hAnsi="宋体" w:eastAsia="楷体_GB2312"/>
          <w:sz w:val="32"/>
          <w:szCs w:val="32"/>
        </w:rPr>
        <w:t>（三）学术领军人才应聘条件</w:t>
      </w:r>
      <w:bookmarkStart w:id="2" w:name="_GoBack"/>
      <w:bookmarkEnd w:id="2"/>
    </w:p>
    <w:p w14:paraId="4C709672">
      <w:pPr>
        <w:ind w:firstLine="640" w:firstLineChars="200"/>
        <w:rPr>
          <w:rFonts w:ascii="仿宋_GB2312" w:hAnsi="宋体" w:eastAsia="仿宋_GB2312"/>
          <w:sz w:val="32"/>
          <w:szCs w:val="32"/>
        </w:rPr>
      </w:pPr>
      <w:r>
        <w:rPr>
          <w:rFonts w:hint="eastAsia" w:ascii="仿宋_GB2312" w:hAnsi="宋体" w:eastAsia="仿宋_GB2312"/>
          <w:sz w:val="32"/>
          <w:szCs w:val="32"/>
        </w:rPr>
        <w:t>学术领军人才实行</w:t>
      </w:r>
      <w:r>
        <w:rPr>
          <w:rFonts w:hint="eastAsia" w:ascii="宋体" w:hAnsi="宋体"/>
          <w:sz w:val="32"/>
          <w:szCs w:val="32"/>
        </w:rPr>
        <w:t>“</w:t>
      </w:r>
      <w:r>
        <w:rPr>
          <w:rFonts w:hint="eastAsia" w:ascii="仿宋_GB2312" w:hAnsi="宋体" w:eastAsia="仿宋_GB2312"/>
          <w:sz w:val="32"/>
          <w:szCs w:val="32"/>
        </w:rPr>
        <w:t>按需引才</w:t>
      </w:r>
      <w:r>
        <w:rPr>
          <w:rFonts w:hint="eastAsia" w:ascii="宋体" w:hAnsi="宋体"/>
          <w:sz w:val="32"/>
          <w:szCs w:val="32"/>
        </w:rPr>
        <w:t>”</w:t>
      </w:r>
      <w:r>
        <w:rPr>
          <w:rFonts w:hint="eastAsia" w:ascii="仿宋_GB2312" w:hAnsi="宋体" w:eastAsia="仿宋_GB2312"/>
          <w:sz w:val="32"/>
          <w:szCs w:val="32"/>
        </w:rPr>
        <w:t>，且所从事研究领域与学校发展的学科紧密相关，并鼓励团队引进，可通过双方协商实行特定的引才政策与考核机制，同时学术领军人才引进可不受学历、专业技术职务、资历等条件限制。</w:t>
      </w:r>
    </w:p>
    <w:p w14:paraId="63A43F7F">
      <w:pPr>
        <w:ind w:firstLine="640" w:firstLineChars="200"/>
        <w:rPr>
          <w:rFonts w:ascii="楷体_GB2312" w:hAnsi="宋体" w:eastAsia="楷体_GB2312"/>
          <w:sz w:val="32"/>
          <w:szCs w:val="32"/>
        </w:rPr>
      </w:pPr>
      <w:r>
        <w:rPr>
          <w:rFonts w:hint="eastAsia" w:ascii="楷体_GB2312" w:hAnsi="宋体" w:eastAsia="楷体_GB2312"/>
          <w:sz w:val="32"/>
          <w:szCs w:val="32"/>
        </w:rPr>
        <w:t>（四）学术带头人应聘条件，需要同时具备以下条件：</w:t>
      </w:r>
    </w:p>
    <w:p w14:paraId="66077305">
      <w:pPr>
        <w:ind w:firstLine="640" w:firstLineChars="200"/>
        <w:rPr>
          <w:rFonts w:ascii="仿宋_GB2312" w:hAnsi="宋体" w:eastAsia="仿宋_GB2312"/>
          <w:sz w:val="32"/>
          <w:szCs w:val="32"/>
        </w:rPr>
      </w:pPr>
      <w:r>
        <w:rPr>
          <w:rFonts w:hint="eastAsia" w:ascii="仿宋_GB2312" w:hAnsi="宋体" w:eastAsia="仿宋_GB2312"/>
          <w:sz w:val="32"/>
          <w:szCs w:val="32"/>
        </w:rPr>
        <w:t>1．年龄不超过50周岁，一般应具有正高级专业技术职务，若为副高级专业技术职务，年龄须在45岁以下；</w:t>
      </w:r>
    </w:p>
    <w:p w14:paraId="6B29D1A6">
      <w:pPr>
        <w:ind w:firstLine="640" w:firstLineChars="200"/>
        <w:rPr>
          <w:rFonts w:ascii="仿宋_GB2312" w:hAnsi="宋体" w:eastAsia="仿宋_GB2312"/>
          <w:sz w:val="32"/>
          <w:szCs w:val="32"/>
        </w:rPr>
      </w:pPr>
      <w:r>
        <w:rPr>
          <w:rFonts w:hint="eastAsia" w:ascii="仿宋_GB2312" w:hAnsi="宋体" w:eastAsia="仿宋_GB2312"/>
          <w:sz w:val="32"/>
          <w:szCs w:val="32"/>
        </w:rPr>
        <w:t>2．具有博士学位；具有较强的团结协作精神和学术组织管理能力，能统领学术队伍开展高层次的学科建设工作和学术活动；</w:t>
      </w:r>
    </w:p>
    <w:p w14:paraId="26999AF2">
      <w:pPr>
        <w:ind w:firstLine="640" w:firstLineChars="200"/>
        <w:rPr>
          <w:rFonts w:ascii="仿宋_GB2312" w:hAnsi="宋体" w:eastAsia="仿宋_GB2312"/>
          <w:sz w:val="32"/>
          <w:szCs w:val="32"/>
        </w:rPr>
      </w:pPr>
      <w:r>
        <w:rPr>
          <w:rFonts w:hint="eastAsia" w:ascii="仿宋_GB2312" w:hAnsi="宋体" w:eastAsia="仿宋_GB2312"/>
          <w:sz w:val="32"/>
          <w:szCs w:val="32"/>
        </w:rPr>
        <w:t>3．近5年内，主持过国家级教科研项目1项；或省部级教学科研成果二等奖1项；或横向课题到款额：人文社会类年度累计150万元以上、自然科学类年度累计225万元以上；或作为第一完成人实现成果转让1项，经费达100万元以上；</w:t>
      </w:r>
    </w:p>
    <w:p w14:paraId="5DD8B45A">
      <w:pPr>
        <w:ind w:firstLine="640" w:firstLineChars="200"/>
        <w:rPr>
          <w:rFonts w:ascii="仿宋_GB2312" w:hAnsi="宋体" w:eastAsia="仿宋_GB2312"/>
          <w:sz w:val="32"/>
          <w:szCs w:val="32"/>
        </w:rPr>
      </w:pPr>
      <w:r>
        <w:rPr>
          <w:rFonts w:hint="eastAsia" w:ascii="仿宋_GB2312" w:hAnsi="宋体" w:eastAsia="仿宋_GB2312"/>
          <w:sz w:val="32"/>
          <w:szCs w:val="32"/>
        </w:rPr>
        <w:t>4．近5年内，在本领域A类期刊发表学术论文2篇或B类期刊发表学术论文4篇；若为副高级专业技术职务，需在本领域A类期刊发表学术论文3篇或B类期刊发表学术论文5篇。</w:t>
      </w:r>
    </w:p>
    <w:p w14:paraId="5210D19A">
      <w:pPr>
        <w:ind w:firstLine="640" w:firstLineChars="200"/>
        <w:rPr>
          <w:rFonts w:ascii="楷体_GB2312" w:hAnsi="宋体" w:eastAsia="楷体_GB2312"/>
          <w:sz w:val="32"/>
          <w:szCs w:val="32"/>
        </w:rPr>
      </w:pPr>
      <w:r>
        <w:rPr>
          <w:rFonts w:hint="eastAsia" w:ascii="楷体_GB2312" w:hAnsi="宋体" w:eastAsia="楷体_GB2312"/>
          <w:sz w:val="32"/>
          <w:szCs w:val="32"/>
        </w:rPr>
        <w:t>（五）学术骨干应聘条件</w:t>
      </w:r>
    </w:p>
    <w:p w14:paraId="29ADE135">
      <w:pPr>
        <w:ind w:firstLine="640" w:firstLineChars="200"/>
        <w:rPr>
          <w:rFonts w:ascii="仿宋_GB2312" w:hAnsi="宋体" w:eastAsia="仿宋_GB2312"/>
          <w:sz w:val="32"/>
          <w:szCs w:val="32"/>
        </w:rPr>
      </w:pPr>
      <w:r>
        <w:rPr>
          <w:rFonts w:hint="eastAsia" w:ascii="仿宋_GB2312" w:hAnsi="宋体" w:eastAsia="仿宋_GB2312"/>
          <w:sz w:val="32"/>
          <w:szCs w:val="32"/>
        </w:rPr>
        <w:t>学术骨干（C1），需要同时具备以下条件：</w:t>
      </w:r>
    </w:p>
    <w:p w14:paraId="3CEA4806">
      <w:pPr>
        <w:ind w:firstLine="640" w:firstLineChars="200"/>
        <w:rPr>
          <w:rFonts w:ascii="仿宋_GB2312" w:hAnsi="宋体" w:eastAsia="仿宋_GB2312"/>
          <w:sz w:val="32"/>
          <w:szCs w:val="32"/>
        </w:rPr>
      </w:pPr>
      <w:r>
        <w:rPr>
          <w:rFonts w:hint="eastAsia" w:ascii="仿宋_GB2312" w:hAnsi="宋体" w:eastAsia="仿宋_GB2312"/>
          <w:sz w:val="32"/>
          <w:szCs w:val="32"/>
        </w:rPr>
        <w:t>1．年龄不超过45周岁;有博士学位，且具有副高级专业技术职务或3年以上中级专业技术职务；或具有博士后经历；</w:t>
      </w:r>
    </w:p>
    <w:p w14:paraId="3765191F">
      <w:pPr>
        <w:ind w:firstLine="640" w:firstLineChars="200"/>
        <w:rPr>
          <w:rFonts w:ascii="仿宋_GB2312" w:hAnsi="宋体" w:eastAsia="仿宋_GB2312"/>
          <w:sz w:val="32"/>
          <w:szCs w:val="32"/>
        </w:rPr>
      </w:pPr>
      <w:r>
        <w:rPr>
          <w:rFonts w:hint="eastAsia" w:ascii="仿宋_GB2312" w:hAnsi="宋体" w:eastAsia="仿宋_GB2312"/>
          <w:sz w:val="32"/>
          <w:szCs w:val="32"/>
        </w:rPr>
        <w:t>2．近5年内，主持省部级重点项目1项；或省部级一般项目2项；或获得省部级教研科研成果三等奖及以上1项；</w:t>
      </w:r>
    </w:p>
    <w:p w14:paraId="2DF661FD">
      <w:pPr>
        <w:ind w:firstLine="640" w:firstLineChars="200"/>
        <w:rPr>
          <w:rFonts w:ascii="仿宋_GB2312" w:hAnsi="宋体" w:eastAsia="仿宋_GB2312"/>
          <w:sz w:val="32"/>
          <w:szCs w:val="32"/>
        </w:rPr>
      </w:pPr>
      <w:r>
        <w:rPr>
          <w:rFonts w:hint="eastAsia" w:ascii="仿宋_GB2312" w:hAnsi="宋体" w:eastAsia="仿宋_GB2312"/>
          <w:sz w:val="32"/>
          <w:szCs w:val="32"/>
        </w:rPr>
        <w:t>3．近5年内，在本领域A类期刊发表学术论文1篇或B类期刊发表学术论文2篇；</w:t>
      </w:r>
    </w:p>
    <w:p w14:paraId="06C99E2D">
      <w:pPr>
        <w:ind w:firstLine="640" w:firstLineChars="200"/>
        <w:rPr>
          <w:rFonts w:ascii="仿宋_GB2312" w:hAnsi="宋体" w:eastAsia="仿宋_GB2312"/>
          <w:sz w:val="32"/>
          <w:szCs w:val="32"/>
        </w:rPr>
      </w:pPr>
      <w:r>
        <w:rPr>
          <w:rFonts w:hint="eastAsia" w:ascii="仿宋_GB2312" w:hAnsi="宋体" w:eastAsia="仿宋_GB2312"/>
          <w:sz w:val="32"/>
          <w:szCs w:val="32"/>
        </w:rPr>
        <w:t>4．若应聘者学术业绩突出，有3篇及以上A类期刊发表的，不受上述2、3条款限制，可申请学术骨干职位。</w:t>
      </w:r>
    </w:p>
    <w:p w14:paraId="357BF6E8">
      <w:pPr>
        <w:ind w:firstLine="640" w:firstLineChars="200"/>
        <w:rPr>
          <w:rFonts w:ascii="仿宋_GB2312" w:hAnsi="宋体" w:eastAsia="仿宋_GB2312"/>
          <w:sz w:val="32"/>
          <w:szCs w:val="32"/>
        </w:rPr>
      </w:pPr>
      <w:r>
        <w:rPr>
          <w:rFonts w:hint="eastAsia" w:ascii="仿宋_GB2312" w:hAnsi="宋体" w:eastAsia="仿宋_GB2312"/>
          <w:sz w:val="32"/>
          <w:szCs w:val="32"/>
        </w:rPr>
        <w:t>学术骨干（C2），需要同时具备以下条件：</w:t>
      </w:r>
    </w:p>
    <w:p w14:paraId="2543DAF0">
      <w:pPr>
        <w:ind w:firstLine="640" w:firstLineChars="200"/>
        <w:rPr>
          <w:rFonts w:ascii="仿宋_GB2312" w:hAnsi="宋体" w:eastAsia="仿宋_GB2312"/>
          <w:sz w:val="32"/>
          <w:szCs w:val="32"/>
        </w:rPr>
      </w:pPr>
      <w:r>
        <w:rPr>
          <w:rFonts w:hint="eastAsia" w:ascii="仿宋_GB2312" w:hAnsi="宋体" w:eastAsia="仿宋_GB2312"/>
          <w:sz w:val="32"/>
          <w:szCs w:val="32"/>
        </w:rPr>
        <w:t>1．年龄不超过45周岁，具有博士学位；</w:t>
      </w:r>
    </w:p>
    <w:p w14:paraId="61D5CB41">
      <w:pPr>
        <w:ind w:firstLine="640" w:firstLineChars="200"/>
        <w:rPr>
          <w:rFonts w:ascii="仿宋_GB2312" w:hAnsi="宋体" w:eastAsia="仿宋_GB2312"/>
          <w:sz w:val="32"/>
          <w:szCs w:val="32"/>
        </w:rPr>
      </w:pPr>
      <w:r>
        <w:rPr>
          <w:rFonts w:hint="eastAsia" w:ascii="仿宋_GB2312" w:hAnsi="宋体" w:eastAsia="仿宋_GB2312"/>
          <w:sz w:val="32"/>
          <w:szCs w:val="32"/>
        </w:rPr>
        <w:t>2．具有丰富的行业企业实践经验和高级专业技术职务；或近五年担任政府部门正处级及以上实职或大中型企业副总及以上职务3年及以上；</w:t>
      </w:r>
    </w:p>
    <w:p w14:paraId="643E6C8F">
      <w:pPr>
        <w:ind w:firstLine="640" w:firstLineChars="200"/>
        <w:rPr>
          <w:rFonts w:ascii="仿宋_GB2312" w:hAnsi="宋体" w:eastAsia="仿宋_GB2312"/>
          <w:sz w:val="32"/>
          <w:szCs w:val="32"/>
        </w:rPr>
      </w:pPr>
      <w:r>
        <w:rPr>
          <w:rFonts w:hint="eastAsia" w:ascii="仿宋_GB2312" w:hAnsi="宋体" w:eastAsia="仿宋_GB2312"/>
          <w:sz w:val="32"/>
          <w:szCs w:val="32"/>
        </w:rPr>
        <w:t>3．近5年内，在本领域B类期刊发表论文1篇或C类期刊发表学术论文2篇；或获得省部级及以上领导批示或部门采纳决策建议稿2项；</w:t>
      </w:r>
    </w:p>
    <w:p w14:paraId="6D15AEEE">
      <w:pPr>
        <w:ind w:firstLine="640" w:firstLineChars="200"/>
        <w:rPr>
          <w:rFonts w:ascii="仿宋_GB2312" w:hAnsi="宋体" w:eastAsia="仿宋_GB2312"/>
          <w:sz w:val="32"/>
          <w:szCs w:val="32"/>
        </w:rPr>
      </w:pPr>
      <w:r>
        <w:rPr>
          <w:rFonts w:hint="eastAsia" w:ascii="仿宋_GB2312" w:hAnsi="宋体" w:eastAsia="仿宋_GB2312"/>
          <w:sz w:val="32"/>
          <w:szCs w:val="32"/>
        </w:rPr>
        <w:t>4．近5年内，获得国家发明专利1项；或参与市级及以上创新团队或一大型项目(排名前1)，且经证实已取得较好的经济或社会效益；或横向项目到款额人文社科类年度累计40万元及以上、自然科学类80万元及以上；或成果转让经费累计60万以上。</w:t>
      </w:r>
    </w:p>
    <w:p w14:paraId="6DAFB6B2">
      <w:pPr>
        <w:ind w:firstLine="640" w:firstLineChars="200"/>
        <w:rPr>
          <w:rFonts w:ascii="仿宋_GB2312" w:hAnsi="宋体" w:eastAsia="仿宋_GB2312"/>
          <w:sz w:val="32"/>
          <w:szCs w:val="32"/>
        </w:rPr>
      </w:pPr>
      <w:r>
        <w:rPr>
          <w:rFonts w:hint="eastAsia" w:ascii="仿宋_GB2312" w:hAnsi="宋体" w:eastAsia="仿宋_GB2312"/>
          <w:sz w:val="32"/>
          <w:szCs w:val="32"/>
        </w:rPr>
        <w:t>（六）优秀博士应聘条件，需要同时具备以下条件：</w:t>
      </w:r>
    </w:p>
    <w:p w14:paraId="4F7DA065">
      <w:pPr>
        <w:ind w:firstLine="640" w:firstLineChars="200"/>
        <w:rPr>
          <w:rFonts w:ascii="仿宋_GB2312" w:hAnsi="宋体" w:eastAsia="仿宋_GB2312"/>
          <w:sz w:val="32"/>
          <w:szCs w:val="32"/>
        </w:rPr>
      </w:pPr>
      <w:r>
        <w:rPr>
          <w:rFonts w:hint="eastAsia" w:ascii="仿宋_GB2312" w:hAnsi="宋体" w:eastAsia="仿宋_GB2312"/>
          <w:sz w:val="32"/>
          <w:szCs w:val="32"/>
        </w:rPr>
        <w:t>1．年龄不超过40周岁，且具有博士学位；</w:t>
      </w:r>
    </w:p>
    <w:p w14:paraId="2C2D6CDC">
      <w:pPr>
        <w:ind w:firstLine="640" w:firstLineChars="200"/>
        <w:rPr>
          <w:rFonts w:ascii="仿宋_GB2312" w:hAnsi="宋体" w:eastAsia="仿宋_GB2312"/>
          <w:sz w:val="32"/>
          <w:szCs w:val="32"/>
        </w:rPr>
      </w:pPr>
      <w:r>
        <w:rPr>
          <w:rFonts w:hint="eastAsia" w:ascii="仿宋_GB2312" w:hAnsi="宋体" w:eastAsia="仿宋_GB2312"/>
          <w:sz w:val="32"/>
          <w:szCs w:val="32"/>
        </w:rPr>
        <w:t>2．近4年内，在本领域B类期刊发表论文1篇或C类期刊学术论文2篇（其中一篇C类期刊，可为导师一作，博士本人二作）。</w:t>
      </w:r>
    </w:p>
    <w:p w14:paraId="22AD0659">
      <w:pPr>
        <w:ind w:firstLine="640" w:firstLineChars="200"/>
        <w:rPr>
          <w:rFonts w:ascii="仿宋_GB2312" w:hAnsi="宋体" w:eastAsia="仿宋_GB2312"/>
          <w:sz w:val="32"/>
          <w:szCs w:val="32"/>
        </w:rPr>
      </w:pPr>
      <w:r>
        <w:rPr>
          <w:rFonts w:hint="eastAsia" w:ascii="仿宋_GB2312" w:hAnsi="宋体" w:eastAsia="仿宋_GB2312"/>
          <w:sz w:val="32"/>
          <w:szCs w:val="32"/>
        </w:rPr>
        <w:t>（七）紧缺人才应聘条件，需要同时具备以下条件：</w:t>
      </w:r>
    </w:p>
    <w:p w14:paraId="003B40FC">
      <w:pPr>
        <w:ind w:firstLine="640" w:firstLineChars="200"/>
        <w:rPr>
          <w:rFonts w:ascii="仿宋_GB2312" w:hAnsi="宋体" w:eastAsia="仿宋_GB2312"/>
          <w:sz w:val="32"/>
          <w:szCs w:val="32"/>
        </w:rPr>
      </w:pPr>
      <w:r>
        <w:rPr>
          <w:rFonts w:hint="eastAsia" w:ascii="仿宋_GB2312" w:hAnsi="宋体" w:eastAsia="仿宋_GB2312"/>
          <w:sz w:val="32"/>
          <w:szCs w:val="32"/>
        </w:rPr>
        <w:t>1．具有博士学位，原则上年龄不超过45周岁；</w:t>
      </w:r>
      <w:r>
        <w:rPr>
          <w:rFonts w:ascii="仿宋_GB2312" w:hAnsi="宋体" w:eastAsia="仿宋_GB2312"/>
          <w:sz w:val="32"/>
          <w:szCs w:val="32"/>
        </w:rPr>
        <w:t xml:space="preserve"> </w:t>
      </w:r>
    </w:p>
    <w:p w14:paraId="575CAFAB">
      <w:pPr>
        <w:ind w:firstLine="640" w:firstLineChars="200"/>
        <w:rPr>
          <w:rFonts w:hint="eastAsia" w:ascii="仿宋_GB2312" w:hAnsi="宋体" w:eastAsia="仿宋_GB2312"/>
          <w:sz w:val="28"/>
          <w:szCs w:val="28"/>
        </w:rPr>
      </w:pPr>
      <w:r>
        <w:rPr>
          <w:rFonts w:hint="eastAsia" w:ascii="仿宋_GB2312" w:hAnsi="宋体" w:eastAsia="仿宋_GB2312"/>
          <w:sz w:val="32"/>
          <w:szCs w:val="32"/>
        </w:rPr>
        <w:t>2．学科专业背景以及研究领域符合学科专业发展需要，且经拟聘单位组织专家考察认定其具有较好的教学或科研潜力。</w:t>
      </w:r>
    </w:p>
    <w:p w14:paraId="03610172">
      <w:pPr>
        <w:ind w:firstLine="640" w:firstLineChars="200"/>
        <w:rPr>
          <w:rFonts w:hint="eastAsia" w:ascii="黑体" w:hAnsi="黑体" w:eastAsia="黑体"/>
          <w:sz w:val="32"/>
          <w:szCs w:val="32"/>
        </w:rPr>
      </w:pPr>
      <w:r>
        <w:rPr>
          <w:rFonts w:hint="eastAsia" w:ascii="黑体" w:hAnsi="黑体" w:eastAsia="黑体"/>
          <w:sz w:val="32"/>
          <w:szCs w:val="32"/>
          <w:lang w:val="en-US" w:eastAsia="zh-CN"/>
        </w:rPr>
        <w:t>二、</w:t>
      </w:r>
      <w:r>
        <w:rPr>
          <w:rFonts w:hint="eastAsia" w:ascii="黑体" w:hAnsi="黑体" w:eastAsia="黑体"/>
          <w:sz w:val="32"/>
          <w:szCs w:val="32"/>
        </w:rPr>
        <w:t>各层次人才待遇见下表：</w:t>
      </w:r>
    </w:p>
    <w:p w14:paraId="175478A0">
      <w:pPr>
        <w:ind w:firstLine="560" w:firstLineChars="200"/>
        <w:rPr>
          <w:rFonts w:ascii="仿宋_GB2312" w:hAnsi="宋体" w:eastAsia="仿宋_GB2312"/>
          <w:sz w:val="28"/>
          <w:szCs w:val="28"/>
        </w:rPr>
      </w:pPr>
      <w:r>
        <w:rPr>
          <w:rFonts w:hint="eastAsia" w:ascii="仿宋_GB2312" w:hAnsi="宋体" w:eastAsia="仿宋_GB2312"/>
          <w:sz w:val="28"/>
          <w:szCs w:val="28"/>
        </w:rPr>
        <w:t xml:space="preserve">                                          单位：万元</w:t>
      </w:r>
    </w:p>
    <w:tbl>
      <w:tblPr>
        <w:tblStyle w:val="8"/>
        <w:tblW w:w="10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273"/>
        <w:gridCol w:w="2025"/>
        <w:gridCol w:w="1176"/>
        <w:gridCol w:w="1440"/>
        <w:gridCol w:w="1395"/>
        <w:gridCol w:w="2387"/>
      </w:tblGrid>
      <w:tr w14:paraId="56BC2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824" w:type="dxa"/>
            <w:shd w:val="clear" w:color="auto" w:fill="auto"/>
            <w:vAlign w:val="center"/>
          </w:tcPr>
          <w:p w14:paraId="2915A50A">
            <w:pPr>
              <w:spacing w:line="324" w:lineRule="auto"/>
              <w:jc w:val="center"/>
              <w:rPr>
                <w:rFonts w:ascii="宋体" w:hAnsi="宋体" w:eastAsia="宋体" w:cs="宋体"/>
                <w:b/>
                <w:bCs/>
                <w:sz w:val="24"/>
                <w:szCs w:val="24"/>
              </w:rPr>
            </w:pPr>
            <w:r>
              <w:rPr>
                <w:rFonts w:hint="eastAsia" w:ascii="宋体" w:hAnsi="宋体" w:eastAsia="宋体" w:cs="宋体"/>
                <w:b/>
                <w:bCs/>
                <w:sz w:val="24"/>
                <w:szCs w:val="24"/>
              </w:rPr>
              <w:t>人才</w:t>
            </w:r>
          </w:p>
          <w:p w14:paraId="54AB702C">
            <w:pPr>
              <w:spacing w:line="324" w:lineRule="auto"/>
              <w:jc w:val="center"/>
              <w:rPr>
                <w:rFonts w:ascii="宋体" w:hAnsi="宋体" w:eastAsia="宋体" w:cs="宋体"/>
                <w:b/>
                <w:bCs/>
                <w:sz w:val="24"/>
                <w:szCs w:val="24"/>
              </w:rPr>
            </w:pPr>
            <w:r>
              <w:rPr>
                <w:rFonts w:hint="eastAsia" w:ascii="宋体" w:hAnsi="宋体" w:eastAsia="宋体" w:cs="宋体"/>
                <w:b/>
                <w:bCs/>
                <w:sz w:val="24"/>
                <w:szCs w:val="24"/>
              </w:rPr>
              <w:t>类别</w:t>
            </w:r>
          </w:p>
        </w:tc>
        <w:tc>
          <w:tcPr>
            <w:tcW w:w="1273" w:type="dxa"/>
            <w:shd w:val="clear" w:color="auto" w:fill="auto"/>
            <w:vAlign w:val="center"/>
          </w:tcPr>
          <w:p w14:paraId="626948B7">
            <w:pPr>
              <w:spacing w:line="324" w:lineRule="auto"/>
              <w:jc w:val="center"/>
              <w:rPr>
                <w:rFonts w:ascii="宋体" w:hAnsi="宋体" w:eastAsia="宋体" w:cs="宋体"/>
                <w:b/>
                <w:bCs/>
                <w:sz w:val="24"/>
                <w:szCs w:val="24"/>
              </w:rPr>
            </w:pPr>
            <w:r>
              <w:rPr>
                <w:rFonts w:hint="eastAsia" w:ascii="宋体" w:hAnsi="宋体" w:eastAsia="宋体" w:cs="宋体"/>
                <w:b/>
                <w:bCs/>
                <w:sz w:val="24"/>
                <w:szCs w:val="24"/>
              </w:rPr>
              <w:t>学校安家补助</w:t>
            </w:r>
          </w:p>
        </w:tc>
        <w:tc>
          <w:tcPr>
            <w:tcW w:w="2025" w:type="dxa"/>
            <w:shd w:val="clear" w:color="auto" w:fill="auto"/>
            <w:vAlign w:val="center"/>
          </w:tcPr>
          <w:p w14:paraId="77CD1285">
            <w:pPr>
              <w:spacing w:line="324" w:lineRule="auto"/>
              <w:jc w:val="center"/>
              <w:rPr>
                <w:rFonts w:ascii="宋体" w:hAnsi="宋体" w:eastAsia="宋体" w:cs="宋体"/>
                <w:b/>
                <w:bCs/>
                <w:sz w:val="24"/>
                <w:szCs w:val="24"/>
              </w:rPr>
            </w:pPr>
            <w:r>
              <w:rPr>
                <w:rFonts w:hint="eastAsia" w:ascii="宋体" w:hAnsi="宋体" w:eastAsia="宋体" w:cs="宋体"/>
                <w:b/>
                <w:bCs/>
                <w:sz w:val="24"/>
                <w:szCs w:val="24"/>
              </w:rPr>
              <w:t>市人才安家补助及购房补贴</w:t>
            </w:r>
          </w:p>
        </w:tc>
        <w:tc>
          <w:tcPr>
            <w:tcW w:w="1176" w:type="dxa"/>
            <w:shd w:val="clear" w:color="auto" w:fill="auto"/>
            <w:vAlign w:val="center"/>
          </w:tcPr>
          <w:p w14:paraId="0FE74582">
            <w:pPr>
              <w:spacing w:line="324" w:lineRule="auto"/>
              <w:jc w:val="center"/>
              <w:rPr>
                <w:rFonts w:ascii="宋体" w:hAnsi="宋体" w:eastAsia="宋体" w:cs="宋体"/>
                <w:b/>
                <w:bCs/>
                <w:sz w:val="24"/>
                <w:szCs w:val="24"/>
              </w:rPr>
            </w:pPr>
            <w:r>
              <w:rPr>
                <w:rFonts w:hint="eastAsia" w:ascii="宋体" w:hAnsi="宋体" w:eastAsia="宋体" w:cs="宋体"/>
                <w:b/>
                <w:bCs/>
                <w:sz w:val="24"/>
                <w:szCs w:val="24"/>
              </w:rPr>
              <w:t>年薪</w:t>
            </w:r>
          </w:p>
        </w:tc>
        <w:tc>
          <w:tcPr>
            <w:tcW w:w="1440" w:type="dxa"/>
            <w:shd w:val="clear" w:color="auto" w:fill="auto"/>
            <w:vAlign w:val="center"/>
          </w:tcPr>
          <w:p w14:paraId="13591053">
            <w:pPr>
              <w:spacing w:line="324" w:lineRule="auto"/>
              <w:jc w:val="center"/>
              <w:rPr>
                <w:rFonts w:ascii="宋体" w:hAnsi="宋体" w:eastAsia="宋体" w:cs="宋体"/>
                <w:b/>
                <w:bCs/>
                <w:sz w:val="24"/>
                <w:szCs w:val="24"/>
              </w:rPr>
            </w:pPr>
            <w:r>
              <w:rPr>
                <w:rFonts w:hint="eastAsia" w:ascii="宋体" w:hAnsi="宋体" w:eastAsia="宋体" w:cs="宋体"/>
                <w:b/>
                <w:bCs/>
                <w:sz w:val="24"/>
                <w:szCs w:val="24"/>
              </w:rPr>
              <w:t>科研启动费</w:t>
            </w:r>
          </w:p>
        </w:tc>
        <w:tc>
          <w:tcPr>
            <w:tcW w:w="1395" w:type="dxa"/>
            <w:shd w:val="clear" w:color="auto" w:fill="auto"/>
            <w:vAlign w:val="center"/>
          </w:tcPr>
          <w:p w14:paraId="324770A7">
            <w:pPr>
              <w:spacing w:line="324"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直聘</w:t>
            </w:r>
          </w:p>
          <w:p w14:paraId="0813BB85">
            <w:pPr>
              <w:spacing w:line="324" w:lineRule="auto"/>
              <w:jc w:val="center"/>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政策</w:t>
            </w:r>
          </w:p>
        </w:tc>
        <w:tc>
          <w:tcPr>
            <w:tcW w:w="2387" w:type="dxa"/>
            <w:shd w:val="clear" w:color="auto" w:fill="auto"/>
            <w:vAlign w:val="center"/>
          </w:tcPr>
          <w:p w14:paraId="6122EA75">
            <w:pPr>
              <w:spacing w:line="324" w:lineRule="auto"/>
              <w:jc w:val="center"/>
              <w:rPr>
                <w:rFonts w:hint="eastAsia" w:ascii="宋体" w:hAnsi="宋体" w:eastAsia="宋体" w:cs="宋体"/>
                <w:b/>
                <w:bCs/>
                <w:sz w:val="24"/>
                <w:szCs w:val="24"/>
              </w:rPr>
            </w:pPr>
            <w:r>
              <w:rPr>
                <w:rFonts w:hint="eastAsia" w:ascii="宋体" w:hAnsi="宋体" w:eastAsia="宋体" w:cs="宋体"/>
                <w:b/>
                <w:bCs/>
                <w:sz w:val="24"/>
                <w:szCs w:val="24"/>
              </w:rPr>
              <w:t>其他待遇</w:t>
            </w:r>
          </w:p>
        </w:tc>
      </w:tr>
      <w:tr w14:paraId="38B76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4" w:type="dxa"/>
            <w:shd w:val="clear" w:color="auto" w:fill="auto"/>
            <w:vAlign w:val="center"/>
          </w:tcPr>
          <w:p w14:paraId="36161D90">
            <w:pPr>
              <w:spacing w:line="360" w:lineRule="auto"/>
              <w:jc w:val="center"/>
              <w:rPr>
                <w:rFonts w:ascii="宋体" w:hAnsi="宋体" w:eastAsia="宋体"/>
                <w:sz w:val="24"/>
                <w:szCs w:val="24"/>
              </w:rPr>
            </w:pPr>
            <w:r>
              <w:rPr>
                <w:rFonts w:hint="eastAsia" w:ascii="宋体" w:hAnsi="宋体" w:eastAsia="宋体"/>
                <w:sz w:val="24"/>
                <w:szCs w:val="24"/>
              </w:rPr>
              <w:t>A1</w:t>
            </w:r>
          </w:p>
        </w:tc>
        <w:tc>
          <w:tcPr>
            <w:tcW w:w="1273" w:type="dxa"/>
            <w:shd w:val="clear" w:color="auto" w:fill="auto"/>
            <w:vAlign w:val="center"/>
          </w:tcPr>
          <w:p w14:paraId="6D71A24F">
            <w:pPr>
              <w:spacing w:line="360" w:lineRule="auto"/>
              <w:jc w:val="center"/>
              <w:rPr>
                <w:rFonts w:ascii="宋体" w:hAnsi="宋体" w:eastAsia="宋体"/>
                <w:sz w:val="24"/>
                <w:szCs w:val="24"/>
              </w:rPr>
            </w:pPr>
            <w:r>
              <w:rPr>
                <w:rFonts w:hint="eastAsia" w:ascii="宋体" w:hAnsi="宋体" w:eastAsia="宋体"/>
                <w:sz w:val="24"/>
                <w:szCs w:val="24"/>
              </w:rPr>
              <w:t>协商</w:t>
            </w:r>
          </w:p>
        </w:tc>
        <w:tc>
          <w:tcPr>
            <w:tcW w:w="2025" w:type="dxa"/>
            <w:vMerge w:val="restart"/>
            <w:shd w:val="clear" w:color="auto" w:fill="auto"/>
            <w:vAlign w:val="center"/>
          </w:tcPr>
          <w:p w14:paraId="2120C626">
            <w:pPr>
              <w:spacing w:line="360" w:lineRule="auto"/>
              <w:jc w:val="center"/>
              <w:rPr>
                <w:rFonts w:ascii="宋体" w:hAnsi="宋体" w:eastAsia="宋体"/>
                <w:sz w:val="24"/>
                <w:szCs w:val="24"/>
              </w:rPr>
            </w:pPr>
            <w:r>
              <w:rPr>
                <w:rFonts w:hint="eastAsia" w:ascii="宋体" w:hAnsi="宋体" w:eastAsia="宋体"/>
                <w:sz w:val="24"/>
                <w:szCs w:val="24"/>
              </w:rPr>
              <w:t>学校协助申请宁波市各类人才相应的安家补助与购房补贴</w:t>
            </w:r>
          </w:p>
        </w:tc>
        <w:tc>
          <w:tcPr>
            <w:tcW w:w="1176" w:type="dxa"/>
            <w:shd w:val="clear" w:color="auto" w:fill="auto"/>
            <w:vAlign w:val="center"/>
          </w:tcPr>
          <w:p w14:paraId="2121B2C9">
            <w:pPr>
              <w:spacing w:line="360" w:lineRule="auto"/>
              <w:jc w:val="center"/>
              <w:rPr>
                <w:rFonts w:ascii="宋体" w:hAnsi="宋体" w:eastAsia="宋体"/>
                <w:sz w:val="24"/>
                <w:szCs w:val="24"/>
              </w:rPr>
            </w:pPr>
            <w:r>
              <w:rPr>
                <w:rFonts w:hint="eastAsia" w:ascii="宋体" w:hAnsi="宋体" w:eastAsia="宋体"/>
                <w:sz w:val="24"/>
                <w:szCs w:val="24"/>
              </w:rPr>
              <w:t>面议</w:t>
            </w:r>
          </w:p>
        </w:tc>
        <w:tc>
          <w:tcPr>
            <w:tcW w:w="1440" w:type="dxa"/>
            <w:shd w:val="clear" w:color="auto" w:fill="auto"/>
            <w:vAlign w:val="center"/>
          </w:tcPr>
          <w:p w14:paraId="3BF8C0CC">
            <w:pPr>
              <w:spacing w:line="360" w:lineRule="auto"/>
              <w:jc w:val="center"/>
              <w:rPr>
                <w:rFonts w:ascii="宋体" w:hAnsi="宋体" w:eastAsia="宋体"/>
                <w:sz w:val="24"/>
                <w:szCs w:val="24"/>
              </w:rPr>
            </w:pPr>
            <w:r>
              <w:rPr>
                <w:rFonts w:hint="eastAsia" w:ascii="宋体" w:hAnsi="宋体" w:eastAsia="宋体"/>
                <w:sz w:val="24"/>
                <w:szCs w:val="24"/>
              </w:rPr>
              <w:t>面议</w:t>
            </w:r>
          </w:p>
        </w:tc>
        <w:tc>
          <w:tcPr>
            <w:tcW w:w="1395" w:type="dxa"/>
            <w:vMerge w:val="restart"/>
            <w:shd w:val="clear" w:color="auto" w:fill="auto"/>
            <w:vAlign w:val="center"/>
          </w:tcPr>
          <w:p w14:paraId="6895F00A">
            <w:pPr>
              <w:numPr>
                <w:ilvl w:val="0"/>
                <w:numId w:val="0"/>
              </w:numPr>
              <w:spacing w:line="360" w:lineRule="auto"/>
              <w:jc w:val="center"/>
              <w:rPr>
                <w:rFonts w:hint="default" w:ascii="宋体" w:hAnsi="宋体" w:eastAsia="宋体"/>
                <w:sz w:val="24"/>
                <w:szCs w:val="24"/>
                <w:lang w:val="en-US" w:eastAsia="zh-CN"/>
              </w:rPr>
            </w:pPr>
            <w:r>
              <w:rPr>
                <w:rFonts w:hint="eastAsia" w:ascii="宋体" w:hAnsi="宋体" w:eastAsia="宋体"/>
                <w:sz w:val="24"/>
                <w:szCs w:val="24"/>
              </w:rPr>
              <w:t>直聘正高</w:t>
            </w:r>
          </w:p>
        </w:tc>
        <w:tc>
          <w:tcPr>
            <w:tcW w:w="2387" w:type="dxa"/>
            <w:vMerge w:val="restart"/>
            <w:shd w:val="clear" w:color="auto" w:fill="auto"/>
            <w:vAlign w:val="center"/>
          </w:tcPr>
          <w:p w14:paraId="6ABB1BC2">
            <w:pPr>
              <w:numPr>
                <w:ilvl w:val="0"/>
                <w:numId w:val="1"/>
              </w:numPr>
              <w:spacing w:line="360" w:lineRule="auto"/>
              <w:rPr>
                <w:rFonts w:hint="eastAsia" w:ascii="宋体" w:hAnsi="宋体" w:eastAsia="宋体"/>
                <w:sz w:val="24"/>
                <w:szCs w:val="24"/>
                <w:lang w:val="en-US" w:eastAsia="zh-CN"/>
              </w:rPr>
            </w:pPr>
            <w:r>
              <w:rPr>
                <w:rFonts w:hint="eastAsia" w:ascii="宋体" w:hAnsi="宋体" w:eastAsia="宋体"/>
                <w:sz w:val="24"/>
                <w:szCs w:val="24"/>
                <w:lang w:val="en-US" w:eastAsia="zh-CN"/>
              </w:rPr>
              <w:t>宁波市事业编；</w:t>
            </w:r>
          </w:p>
          <w:p w14:paraId="3A2355DB">
            <w:pPr>
              <w:numPr>
                <w:ilvl w:val="0"/>
                <w:numId w:val="1"/>
              </w:numPr>
              <w:spacing w:line="360" w:lineRule="auto"/>
              <w:rPr>
                <w:rFonts w:hint="default" w:ascii="宋体" w:hAnsi="宋体" w:eastAsia="宋体"/>
                <w:sz w:val="24"/>
                <w:szCs w:val="24"/>
                <w:lang w:val="en-US" w:eastAsia="zh-CN"/>
              </w:rPr>
            </w:pPr>
            <w:r>
              <w:rPr>
                <w:rFonts w:hint="eastAsia" w:ascii="宋体" w:hAnsi="宋体" w:eastAsia="宋体"/>
                <w:sz w:val="24"/>
                <w:szCs w:val="24"/>
                <w:lang w:val="en-US" w:eastAsia="zh-CN"/>
              </w:rPr>
              <w:t>住房过渡政策二选一：学校提供过渡性住房/享受租房补贴（每月2千元，享受2年）</w:t>
            </w:r>
          </w:p>
        </w:tc>
      </w:tr>
      <w:tr w14:paraId="68D4B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4" w:type="dxa"/>
            <w:shd w:val="clear" w:color="auto" w:fill="auto"/>
            <w:vAlign w:val="center"/>
          </w:tcPr>
          <w:p w14:paraId="167CDDB0">
            <w:pPr>
              <w:spacing w:line="360" w:lineRule="auto"/>
              <w:jc w:val="center"/>
              <w:rPr>
                <w:rFonts w:ascii="宋体" w:hAnsi="宋体" w:eastAsia="宋体"/>
                <w:sz w:val="24"/>
                <w:szCs w:val="24"/>
              </w:rPr>
            </w:pPr>
            <w:r>
              <w:rPr>
                <w:rFonts w:hint="eastAsia" w:ascii="宋体" w:hAnsi="宋体" w:eastAsia="宋体"/>
                <w:sz w:val="24"/>
                <w:szCs w:val="24"/>
              </w:rPr>
              <w:t>A2</w:t>
            </w:r>
          </w:p>
        </w:tc>
        <w:tc>
          <w:tcPr>
            <w:tcW w:w="1273" w:type="dxa"/>
            <w:shd w:val="clear" w:color="auto" w:fill="auto"/>
            <w:vAlign w:val="center"/>
          </w:tcPr>
          <w:p w14:paraId="1E66F849">
            <w:pPr>
              <w:spacing w:line="360" w:lineRule="auto"/>
              <w:jc w:val="center"/>
              <w:rPr>
                <w:rFonts w:ascii="宋体" w:hAnsi="宋体" w:eastAsia="宋体"/>
                <w:sz w:val="24"/>
                <w:szCs w:val="24"/>
              </w:rPr>
            </w:pPr>
            <w:r>
              <w:rPr>
                <w:rFonts w:hint="eastAsia" w:ascii="宋体" w:hAnsi="宋体" w:eastAsia="宋体"/>
                <w:sz w:val="24"/>
                <w:szCs w:val="24"/>
              </w:rPr>
              <w:t>260</w:t>
            </w:r>
          </w:p>
        </w:tc>
        <w:tc>
          <w:tcPr>
            <w:tcW w:w="2025" w:type="dxa"/>
            <w:vMerge w:val="continue"/>
            <w:shd w:val="clear" w:color="auto" w:fill="auto"/>
            <w:vAlign w:val="center"/>
          </w:tcPr>
          <w:p w14:paraId="2D4B0DB6">
            <w:pPr>
              <w:spacing w:line="360" w:lineRule="auto"/>
              <w:ind w:firstLine="480" w:firstLineChars="200"/>
              <w:jc w:val="center"/>
              <w:rPr>
                <w:rFonts w:ascii="宋体" w:hAnsi="宋体" w:eastAsia="宋体"/>
                <w:sz w:val="24"/>
                <w:szCs w:val="24"/>
              </w:rPr>
            </w:pPr>
          </w:p>
        </w:tc>
        <w:tc>
          <w:tcPr>
            <w:tcW w:w="1176" w:type="dxa"/>
            <w:shd w:val="clear" w:color="auto" w:fill="auto"/>
            <w:vAlign w:val="center"/>
          </w:tcPr>
          <w:p w14:paraId="3264BEAF">
            <w:pPr>
              <w:spacing w:line="360" w:lineRule="auto"/>
              <w:jc w:val="center"/>
              <w:rPr>
                <w:rFonts w:ascii="宋体" w:hAnsi="宋体" w:eastAsia="宋体"/>
                <w:sz w:val="24"/>
                <w:szCs w:val="24"/>
              </w:rPr>
            </w:pPr>
            <w:r>
              <w:rPr>
                <w:rFonts w:hint="eastAsia" w:ascii="宋体" w:hAnsi="宋体" w:eastAsia="宋体"/>
                <w:sz w:val="24"/>
                <w:szCs w:val="24"/>
              </w:rPr>
              <w:t>≥70</w:t>
            </w:r>
          </w:p>
        </w:tc>
        <w:tc>
          <w:tcPr>
            <w:tcW w:w="1440" w:type="dxa"/>
            <w:shd w:val="clear" w:color="auto" w:fill="auto"/>
            <w:vAlign w:val="center"/>
          </w:tcPr>
          <w:p w14:paraId="3C97F5A2">
            <w:pPr>
              <w:spacing w:line="360" w:lineRule="auto"/>
              <w:jc w:val="center"/>
              <w:rPr>
                <w:rFonts w:ascii="宋体" w:hAnsi="宋体" w:eastAsia="宋体"/>
                <w:sz w:val="24"/>
                <w:szCs w:val="24"/>
              </w:rPr>
            </w:pPr>
            <w:r>
              <w:rPr>
                <w:rFonts w:hint="eastAsia" w:ascii="宋体" w:hAnsi="宋体" w:eastAsia="宋体"/>
                <w:sz w:val="24"/>
                <w:szCs w:val="24"/>
              </w:rPr>
              <w:t>60</w:t>
            </w:r>
          </w:p>
        </w:tc>
        <w:tc>
          <w:tcPr>
            <w:tcW w:w="1395" w:type="dxa"/>
            <w:vMerge w:val="continue"/>
            <w:shd w:val="clear" w:color="auto" w:fill="auto"/>
            <w:vAlign w:val="center"/>
          </w:tcPr>
          <w:p w14:paraId="74622CEC">
            <w:pPr>
              <w:spacing w:line="360" w:lineRule="auto"/>
              <w:jc w:val="center"/>
              <w:rPr>
                <w:rFonts w:ascii="宋体" w:hAnsi="宋体" w:eastAsia="宋体"/>
                <w:sz w:val="24"/>
                <w:szCs w:val="24"/>
              </w:rPr>
            </w:pPr>
          </w:p>
        </w:tc>
        <w:tc>
          <w:tcPr>
            <w:tcW w:w="2387" w:type="dxa"/>
            <w:vMerge w:val="continue"/>
            <w:shd w:val="clear" w:color="auto" w:fill="auto"/>
            <w:vAlign w:val="center"/>
          </w:tcPr>
          <w:p w14:paraId="31C15EDD">
            <w:pPr>
              <w:spacing w:line="360" w:lineRule="auto"/>
              <w:jc w:val="center"/>
              <w:rPr>
                <w:rFonts w:ascii="宋体" w:hAnsi="宋体" w:eastAsia="宋体"/>
                <w:sz w:val="24"/>
                <w:szCs w:val="24"/>
              </w:rPr>
            </w:pPr>
          </w:p>
        </w:tc>
      </w:tr>
      <w:tr w14:paraId="60ED1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4" w:type="dxa"/>
            <w:shd w:val="clear" w:color="auto" w:fill="auto"/>
            <w:vAlign w:val="center"/>
          </w:tcPr>
          <w:p w14:paraId="31754BE9">
            <w:pPr>
              <w:spacing w:line="360" w:lineRule="auto"/>
              <w:jc w:val="center"/>
              <w:rPr>
                <w:rFonts w:ascii="宋体" w:hAnsi="宋体" w:eastAsia="宋体"/>
                <w:sz w:val="24"/>
                <w:szCs w:val="24"/>
              </w:rPr>
            </w:pPr>
            <w:r>
              <w:rPr>
                <w:rFonts w:hint="eastAsia" w:ascii="宋体" w:hAnsi="宋体" w:eastAsia="宋体"/>
                <w:sz w:val="24"/>
                <w:szCs w:val="24"/>
              </w:rPr>
              <w:t>B</w:t>
            </w:r>
          </w:p>
        </w:tc>
        <w:tc>
          <w:tcPr>
            <w:tcW w:w="1273" w:type="dxa"/>
            <w:shd w:val="clear" w:color="auto" w:fill="auto"/>
            <w:vAlign w:val="center"/>
          </w:tcPr>
          <w:p w14:paraId="2044C1C7">
            <w:pPr>
              <w:spacing w:line="360" w:lineRule="auto"/>
              <w:jc w:val="center"/>
              <w:rPr>
                <w:rFonts w:ascii="宋体" w:hAnsi="宋体" w:eastAsia="宋体"/>
                <w:sz w:val="24"/>
                <w:szCs w:val="24"/>
              </w:rPr>
            </w:pPr>
            <w:r>
              <w:rPr>
                <w:rFonts w:hint="eastAsia" w:ascii="宋体" w:hAnsi="宋体" w:eastAsia="宋体"/>
                <w:sz w:val="24"/>
                <w:szCs w:val="24"/>
              </w:rPr>
              <w:t>180</w:t>
            </w:r>
          </w:p>
        </w:tc>
        <w:tc>
          <w:tcPr>
            <w:tcW w:w="2025" w:type="dxa"/>
            <w:vMerge w:val="continue"/>
            <w:shd w:val="clear" w:color="auto" w:fill="auto"/>
            <w:vAlign w:val="center"/>
          </w:tcPr>
          <w:p w14:paraId="2BCD805E">
            <w:pPr>
              <w:spacing w:line="360" w:lineRule="auto"/>
              <w:ind w:firstLine="480" w:firstLineChars="200"/>
              <w:jc w:val="center"/>
              <w:rPr>
                <w:rFonts w:ascii="宋体" w:hAnsi="宋体" w:eastAsia="宋体"/>
                <w:sz w:val="24"/>
                <w:szCs w:val="24"/>
              </w:rPr>
            </w:pPr>
          </w:p>
        </w:tc>
        <w:tc>
          <w:tcPr>
            <w:tcW w:w="1176" w:type="dxa"/>
            <w:shd w:val="clear" w:color="auto" w:fill="auto"/>
            <w:vAlign w:val="center"/>
          </w:tcPr>
          <w:p w14:paraId="405610DC">
            <w:pPr>
              <w:spacing w:line="360" w:lineRule="auto"/>
              <w:jc w:val="center"/>
              <w:rPr>
                <w:rFonts w:ascii="宋体" w:hAnsi="宋体" w:eastAsia="宋体"/>
                <w:sz w:val="24"/>
                <w:szCs w:val="24"/>
              </w:rPr>
            </w:pPr>
            <w:r>
              <w:rPr>
                <w:rFonts w:hint="eastAsia" w:ascii="宋体" w:hAnsi="宋体" w:eastAsia="宋体"/>
                <w:sz w:val="24"/>
                <w:szCs w:val="24"/>
              </w:rPr>
              <w:t>≥45</w:t>
            </w:r>
          </w:p>
        </w:tc>
        <w:tc>
          <w:tcPr>
            <w:tcW w:w="1440" w:type="dxa"/>
            <w:shd w:val="clear" w:color="auto" w:fill="auto"/>
            <w:vAlign w:val="center"/>
          </w:tcPr>
          <w:p w14:paraId="64F85DC0">
            <w:pPr>
              <w:spacing w:line="360" w:lineRule="auto"/>
              <w:jc w:val="center"/>
              <w:rPr>
                <w:rFonts w:ascii="宋体" w:hAnsi="宋体" w:eastAsia="宋体"/>
                <w:sz w:val="24"/>
                <w:szCs w:val="24"/>
              </w:rPr>
            </w:pPr>
            <w:r>
              <w:rPr>
                <w:rFonts w:hint="eastAsia" w:ascii="宋体" w:hAnsi="宋体" w:eastAsia="宋体"/>
                <w:sz w:val="24"/>
                <w:szCs w:val="24"/>
              </w:rPr>
              <w:t>30</w:t>
            </w:r>
          </w:p>
        </w:tc>
        <w:tc>
          <w:tcPr>
            <w:tcW w:w="1395" w:type="dxa"/>
            <w:vMerge w:val="continue"/>
            <w:shd w:val="clear" w:color="auto" w:fill="auto"/>
            <w:vAlign w:val="center"/>
          </w:tcPr>
          <w:p w14:paraId="6D455F23">
            <w:pPr>
              <w:spacing w:line="360" w:lineRule="auto"/>
              <w:jc w:val="center"/>
              <w:rPr>
                <w:rFonts w:ascii="宋体" w:hAnsi="宋体" w:eastAsia="宋体"/>
                <w:sz w:val="24"/>
                <w:szCs w:val="24"/>
              </w:rPr>
            </w:pPr>
          </w:p>
        </w:tc>
        <w:tc>
          <w:tcPr>
            <w:tcW w:w="2387" w:type="dxa"/>
            <w:vMerge w:val="continue"/>
            <w:shd w:val="clear" w:color="auto" w:fill="auto"/>
            <w:vAlign w:val="center"/>
          </w:tcPr>
          <w:p w14:paraId="2A60C71A">
            <w:pPr>
              <w:spacing w:line="360" w:lineRule="auto"/>
              <w:jc w:val="center"/>
              <w:rPr>
                <w:rFonts w:ascii="宋体" w:hAnsi="宋体" w:eastAsia="宋体"/>
                <w:sz w:val="24"/>
                <w:szCs w:val="24"/>
              </w:rPr>
            </w:pPr>
          </w:p>
        </w:tc>
      </w:tr>
      <w:tr w14:paraId="5ED4E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4" w:type="dxa"/>
            <w:shd w:val="clear" w:color="auto" w:fill="auto"/>
            <w:vAlign w:val="center"/>
          </w:tcPr>
          <w:p w14:paraId="725C4F31">
            <w:pPr>
              <w:spacing w:line="360" w:lineRule="auto"/>
              <w:jc w:val="center"/>
              <w:rPr>
                <w:rFonts w:ascii="宋体" w:hAnsi="宋体" w:eastAsia="宋体"/>
                <w:sz w:val="24"/>
                <w:szCs w:val="24"/>
              </w:rPr>
            </w:pPr>
            <w:r>
              <w:rPr>
                <w:rFonts w:hint="eastAsia" w:ascii="宋体" w:hAnsi="宋体" w:eastAsia="宋体"/>
                <w:sz w:val="24"/>
                <w:szCs w:val="24"/>
              </w:rPr>
              <w:t>C1</w:t>
            </w:r>
          </w:p>
        </w:tc>
        <w:tc>
          <w:tcPr>
            <w:tcW w:w="1273" w:type="dxa"/>
            <w:shd w:val="clear" w:color="auto" w:fill="auto"/>
            <w:vAlign w:val="center"/>
          </w:tcPr>
          <w:p w14:paraId="52774EBE">
            <w:pPr>
              <w:spacing w:line="360" w:lineRule="auto"/>
              <w:jc w:val="center"/>
              <w:rPr>
                <w:rFonts w:ascii="宋体" w:hAnsi="宋体" w:eastAsia="宋体"/>
                <w:sz w:val="24"/>
                <w:szCs w:val="24"/>
              </w:rPr>
            </w:pPr>
            <w:r>
              <w:rPr>
                <w:rFonts w:hint="eastAsia" w:ascii="宋体" w:hAnsi="宋体" w:eastAsia="宋体"/>
                <w:sz w:val="24"/>
                <w:szCs w:val="24"/>
              </w:rPr>
              <w:t>130</w:t>
            </w:r>
          </w:p>
        </w:tc>
        <w:tc>
          <w:tcPr>
            <w:tcW w:w="2025" w:type="dxa"/>
            <w:vMerge w:val="continue"/>
            <w:shd w:val="clear" w:color="auto" w:fill="auto"/>
            <w:vAlign w:val="center"/>
          </w:tcPr>
          <w:p w14:paraId="0639AEC6">
            <w:pPr>
              <w:spacing w:line="360" w:lineRule="auto"/>
              <w:ind w:firstLine="480" w:firstLineChars="200"/>
              <w:jc w:val="center"/>
              <w:rPr>
                <w:rFonts w:ascii="宋体" w:hAnsi="宋体" w:eastAsia="宋体"/>
                <w:sz w:val="24"/>
                <w:szCs w:val="24"/>
              </w:rPr>
            </w:pPr>
          </w:p>
        </w:tc>
        <w:tc>
          <w:tcPr>
            <w:tcW w:w="1176" w:type="dxa"/>
            <w:shd w:val="clear" w:color="auto" w:fill="auto"/>
            <w:vAlign w:val="center"/>
          </w:tcPr>
          <w:p w14:paraId="075C563A">
            <w:pPr>
              <w:spacing w:line="360" w:lineRule="auto"/>
              <w:jc w:val="center"/>
              <w:rPr>
                <w:rFonts w:ascii="宋体" w:hAnsi="宋体" w:eastAsia="宋体"/>
                <w:sz w:val="24"/>
                <w:szCs w:val="24"/>
              </w:rPr>
            </w:pPr>
            <w:r>
              <w:rPr>
                <w:rFonts w:hint="eastAsia" w:ascii="宋体" w:hAnsi="宋体" w:eastAsia="宋体"/>
                <w:sz w:val="24"/>
                <w:szCs w:val="24"/>
              </w:rPr>
              <w:t>≥30</w:t>
            </w:r>
          </w:p>
        </w:tc>
        <w:tc>
          <w:tcPr>
            <w:tcW w:w="1440" w:type="dxa"/>
            <w:shd w:val="clear" w:color="auto" w:fill="auto"/>
            <w:vAlign w:val="center"/>
          </w:tcPr>
          <w:p w14:paraId="406FB6A8">
            <w:pPr>
              <w:spacing w:line="360" w:lineRule="auto"/>
              <w:jc w:val="center"/>
              <w:rPr>
                <w:rFonts w:ascii="宋体" w:hAnsi="宋体" w:eastAsia="宋体"/>
                <w:sz w:val="24"/>
                <w:szCs w:val="24"/>
              </w:rPr>
            </w:pPr>
            <w:r>
              <w:rPr>
                <w:rFonts w:hint="eastAsia" w:ascii="宋体" w:hAnsi="宋体" w:eastAsia="宋体"/>
                <w:sz w:val="24"/>
                <w:szCs w:val="24"/>
              </w:rPr>
              <w:t>20</w:t>
            </w:r>
          </w:p>
        </w:tc>
        <w:tc>
          <w:tcPr>
            <w:tcW w:w="1395" w:type="dxa"/>
            <w:vMerge w:val="restart"/>
            <w:shd w:val="clear" w:color="auto" w:fill="auto"/>
            <w:vAlign w:val="center"/>
          </w:tcPr>
          <w:p w14:paraId="7ED1D663">
            <w:pPr>
              <w:spacing w:line="360" w:lineRule="auto"/>
              <w:jc w:val="center"/>
              <w:rPr>
                <w:rFonts w:ascii="宋体" w:hAnsi="宋体" w:eastAsia="宋体" w:cs="Tahoma"/>
                <w:sz w:val="24"/>
                <w:szCs w:val="24"/>
              </w:rPr>
            </w:pPr>
            <w:r>
              <w:rPr>
                <w:rFonts w:hint="eastAsia" w:ascii="宋体" w:hAnsi="宋体" w:eastAsia="宋体"/>
                <w:sz w:val="24"/>
                <w:szCs w:val="24"/>
              </w:rPr>
              <w:t>直聘副高</w:t>
            </w:r>
          </w:p>
        </w:tc>
        <w:tc>
          <w:tcPr>
            <w:tcW w:w="2387" w:type="dxa"/>
            <w:vMerge w:val="continue"/>
            <w:shd w:val="clear" w:color="auto" w:fill="auto"/>
            <w:vAlign w:val="center"/>
          </w:tcPr>
          <w:p w14:paraId="12B081EB">
            <w:pPr>
              <w:spacing w:line="360" w:lineRule="auto"/>
              <w:rPr>
                <w:rFonts w:hint="eastAsia" w:ascii="宋体" w:hAnsi="宋体" w:eastAsia="宋体"/>
                <w:sz w:val="24"/>
                <w:szCs w:val="24"/>
              </w:rPr>
            </w:pPr>
          </w:p>
        </w:tc>
      </w:tr>
      <w:tr w14:paraId="1FC41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824" w:type="dxa"/>
            <w:shd w:val="clear" w:color="auto" w:fill="auto"/>
            <w:vAlign w:val="center"/>
          </w:tcPr>
          <w:p w14:paraId="05B9F9AF">
            <w:pPr>
              <w:spacing w:line="360" w:lineRule="auto"/>
              <w:jc w:val="center"/>
              <w:rPr>
                <w:rFonts w:ascii="宋体" w:hAnsi="宋体" w:eastAsia="宋体"/>
                <w:sz w:val="24"/>
                <w:szCs w:val="24"/>
              </w:rPr>
            </w:pPr>
            <w:r>
              <w:rPr>
                <w:rFonts w:hint="eastAsia" w:ascii="宋体" w:hAnsi="宋体" w:eastAsia="宋体"/>
                <w:sz w:val="24"/>
                <w:szCs w:val="24"/>
              </w:rPr>
              <w:t>C2</w:t>
            </w:r>
          </w:p>
        </w:tc>
        <w:tc>
          <w:tcPr>
            <w:tcW w:w="1273" w:type="dxa"/>
            <w:shd w:val="clear" w:color="auto" w:fill="auto"/>
            <w:vAlign w:val="center"/>
          </w:tcPr>
          <w:p w14:paraId="3D444983">
            <w:pPr>
              <w:spacing w:line="360" w:lineRule="auto"/>
              <w:jc w:val="center"/>
              <w:rPr>
                <w:rFonts w:ascii="宋体" w:hAnsi="宋体" w:eastAsia="宋体"/>
                <w:sz w:val="24"/>
                <w:szCs w:val="24"/>
              </w:rPr>
            </w:pPr>
            <w:r>
              <w:rPr>
                <w:rFonts w:hint="eastAsia" w:ascii="宋体" w:hAnsi="宋体" w:eastAsia="宋体"/>
                <w:sz w:val="24"/>
                <w:szCs w:val="24"/>
              </w:rPr>
              <w:t>110</w:t>
            </w:r>
          </w:p>
        </w:tc>
        <w:tc>
          <w:tcPr>
            <w:tcW w:w="2025" w:type="dxa"/>
            <w:vMerge w:val="continue"/>
            <w:shd w:val="clear" w:color="auto" w:fill="auto"/>
            <w:vAlign w:val="center"/>
          </w:tcPr>
          <w:p w14:paraId="197CD7EC">
            <w:pPr>
              <w:spacing w:line="360" w:lineRule="auto"/>
              <w:ind w:firstLine="480" w:firstLineChars="200"/>
              <w:jc w:val="center"/>
              <w:rPr>
                <w:rFonts w:ascii="宋体" w:hAnsi="宋体" w:eastAsia="宋体"/>
                <w:sz w:val="24"/>
                <w:szCs w:val="24"/>
              </w:rPr>
            </w:pPr>
          </w:p>
        </w:tc>
        <w:tc>
          <w:tcPr>
            <w:tcW w:w="1176" w:type="dxa"/>
            <w:shd w:val="clear" w:color="auto" w:fill="auto"/>
            <w:vAlign w:val="center"/>
          </w:tcPr>
          <w:p w14:paraId="09DC6253">
            <w:pPr>
              <w:spacing w:line="360" w:lineRule="auto"/>
              <w:jc w:val="center"/>
              <w:rPr>
                <w:rFonts w:ascii="宋体" w:hAnsi="宋体" w:eastAsia="宋体"/>
                <w:sz w:val="24"/>
                <w:szCs w:val="24"/>
              </w:rPr>
            </w:pPr>
            <w:r>
              <w:rPr>
                <w:rFonts w:hint="eastAsia" w:ascii="宋体" w:hAnsi="宋体" w:eastAsia="宋体"/>
                <w:sz w:val="24"/>
                <w:szCs w:val="24"/>
              </w:rPr>
              <w:t>≥25</w:t>
            </w:r>
          </w:p>
        </w:tc>
        <w:tc>
          <w:tcPr>
            <w:tcW w:w="1440" w:type="dxa"/>
            <w:shd w:val="clear" w:color="auto" w:fill="auto"/>
            <w:vAlign w:val="center"/>
          </w:tcPr>
          <w:p w14:paraId="11BCE18E">
            <w:pPr>
              <w:spacing w:line="360" w:lineRule="auto"/>
              <w:jc w:val="center"/>
              <w:rPr>
                <w:rFonts w:ascii="宋体" w:hAnsi="宋体" w:eastAsia="宋体"/>
                <w:sz w:val="24"/>
                <w:szCs w:val="24"/>
              </w:rPr>
            </w:pPr>
            <w:r>
              <w:rPr>
                <w:rFonts w:hint="eastAsia" w:ascii="宋体" w:hAnsi="宋体" w:eastAsia="宋体"/>
                <w:sz w:val="24"/>
                <w:szCs w:val="24"/>
              </w:rPr>
              <w:t>10</w:t>
            </w:r>
          </w:p>
        </w:tc>
        <w:tc>
          <w:tcPr>
            <w:tcW w:w="1395" w:type="dxa"/>
            <w:vMerge w:val="continue"/>
            <w:shd w:val="clear" w:color="auto" w:fill="auto"/>
            <w:vAlign w:val="center"/>
          </w:tcPr>
          <w:p w14:paraId="64EAE90F">
            <w:pPr>
              <w:spacing w:line="360" w:lineRule="auto"/>
              <w:jc w:val="center"/>
              <w:rPr>
                <w:rFonts w:ascii="宋体" w:hAnsi="宋体" w:eastAsia="宋体"/>
                <w:sz w:val="24"/>
                <w:szCs w:val="24"/>
              </w:rPr>
            </w:pPr>
          </w:p>
        </w:tc>
        <w:tc>
          <w:tcPr>
            <w:tcW w:w="2387" w:type="dxa"/>
            <w:vMerge w:val="continue"/>
            <w:shd w:val="clear" w:color="auto" w:fill="auto"/>
            <w:vAlign w:val="center"/>
          </w:tcPr>
          <w:p w14:paraId="1A93D24B">
            <w:pPr>
              <w:spacing w:line="360" w:lineRule="auto"/>
              <w:jc w:val="center"/>
              <w:rPr>
                <w:rFonts w:ascii="宋体" w:hAnsi="宋体" w:eastAsia="宋体"/>
                <w:sz w:val="24"/>
                <w:szCs w:val="24"/>
              </w:rPr>
            </w:pPr>
          </w:p>
        </w:tc>
      </w:tr>
      <w:tr w14:paraId="4F0A7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4" w:type="dxa"/>
            <w:shd w:val="clear" w:color="auto" w:fill="auto"/>
            <w:vAlign w:val="center"/>
          </w:tcPr>
          <w:p w14:paraId="6525DB81">
            <w:pPr>
              <w:spacing w:line="360" w:lineRule="auto"/>
              <w:jc w:val="center"/>
              <w:rPr>
                <w:rFonts w:ascii="宋体" w:hAnsi="宋体" w:eastAsia="宋体"/>
                <w:sz w:val="24"/>
                <w:szCs w:val="24"/>
              </w:rPr>
            </w:pPr>
            <w:r>
              <w:rPr>
                <w:rFonts w:hint="eastAsia" w:ascii="宋体" w:hAnsi="宋体" w:eastAsia="宋体"/>
                <w:sz w:val="24"/>
                <w:szCs w:val="24"/>
              </w:rPr>
              <w:t>D</w:t>
            </w:r>
          </w:p>
        </w:tc>
        <w:tc>
          <w:tcPr>
            <w:tcW w:w="1273" w:type="dxa"/>
            <w:shd w:val="clear" w:color="auto" w:fill="auto"/>
            <w:vAlign w:val="center"/>
          </w:tcPr>
          <w:p w14:paraId="06346EB6">
            <w:pPr>
              <w:spacing w:line="360" w:lineRule="auto"/>
              <w:jc w:val="center"/>
              <w:rPr>
                <w:rFonts w:ascii="宋体" w:hAnsi="宋体" w:eastAsia="宋体"/>
                <w:sz w:val="24"/>
                <w:szCs w:val="24"/>
              </w:rPr>
            </w:pPr>
            <w:r>
              <w:rPr>
                <w:rFonts w:hint="eastAsia" w:ascii="宋体" w:hAnsi="宋体" w:eastAsia="宋体"/>
                <w:sz w:val="24"/>
                <w:szCs w:val="24"/>
              </w:rPr>
              <w:t>100</w:t>
            </w:r>
          </w:p>
        </w:tc>
        <w:tc>
          <w:tcPr>
            <w:tcW w:w="2025" w:type="dxa"/>
            <w:vMerge w:val="continue"/>
            <w:shd w:val="clear" w:color="auto" w:fill="auto"/>
            <w:vAlign w:val="center"/>
          </w:tcPr>
          <w:p w14:paraId="4E01E6F3">
            <w:pPr>
              <w:spacing w:line="360" w:lineRule="auto"/>
              <w:ind w:firstLine="480" w:firstLineChars="200"/>
              <w:jc w:val="center"/>
              <w:rPr>
                <w:rFonts w:ascii="宋体" w:hAnsi="宋体" w:eastAsia="宋体"/>
                <w:sz w:val="24"/>
                <w:szCs w:val="24"/>
              </w:rPr>
            </w:pPr>
          </w:p>
        </w:tc>
        <w:tc>
          <w:tcPr>
            <w:tcW w:w="1176" w:type="dxa"/>
            <w:shd w:val="clear" w:color="auto" w:fill="auto"/>
            <w:vAlign w:val="center"/>
          </w:tcPr>
          <w:p w14:paraId="24BB4809">
            <w:pPr>
              <w:spacing w:line="360" w:lineRule="auto"/>
              <w:jc w:val="center"/>
              <w:rPr>
                <w:rFonts w:ascii="宋体" w:hAnsi="宋体" w:eastAsia="宋体"/>
                <w:sz w:val="24"/>
                <w:szCs w:val="24"/>
              </w:rPr>
            </w:pPr>
            <w:r>
              <w:rPr>
                <w:rFonts w:hint="eastAsia" w:ascii="宋体" w:hAnsi="宋体" w:eastAsia="宋体"/>
                <w:sz w:val="24"/>
                <w:szCs w:val="24"/>
              </w:rPr>
              <w:t>≥25</w:t>
            </w:r>
          </w:p>
        </w:tc>
        <w:tc>
          <w:tcPr>
            <w:tcW w:w="1440" w:type="dxa"/>
            <w:shd w:val="clear" w:color="auto" w:fill="auto"/>
            <w:vAlign w:val="center"/>
          </w:tcPr>
          <w:p w14:paraId="395847AA">
            <w:pPr>
              <w:spacing w:line="360" w:lineRule="auto"/>
              <w:jc w:val="center"/>
              <w:rPr>
                <w:rFonts w:ascii="宋体" w:hAnsi="宋体" w:eastAsia="宋体"/>
                <w:sz w:val="24"/>
                <w:szCs w:val="24"/>
              </w:rPr>
            </w:pPr>
            <w:r>
              <w:rPr>
                <w:rFonts w:hint="eastAsia" w:ascii="宋体" w:hAnsi="宋体" w:eastAsia="宋体"/>
                <w:sz w:val="24"/>
                <w:szCs w:val="24"/>
              </w:rPr>
              <w:t>10</w:t>
            </w:r>
          </w:p>
        </w:tc>
        <w:tc>
          <w:tcPr>
            <w:tcW w:w="1395" w:type="dxa"/>
            <w:vMerge w:val="restart"/>
            <w:shd w:val="clear" w:color="auto" w:fill="auto"/>
            <w:vAlign w:val="center"/>
          </w:tcPr>
          <w:p w14:paraId="34A83734">
            <w:pPr>
              <w:spacing w:line="360" w:lineRule="auto"/>
              <w:jc w:val="center"/>
              <w:rPr>
                <w:rFonts w:hint="eastAsia" w:ascii="宋体" w:hAnsi="宋体" w:eastAsia="宋体" w:cs="Tahoma"/>
                <w:sz w:val="24"/>
                <w:szCs w:val="24"/>
                <w:lang w:val="en-US" w:eastAsia="zh-CN"/>
              </w:rPr>
            </w:pPr>
            <w:r>
              <w:rPr>
                <w:rFonts w:hint="eastAsia" w:ascii="宋体" w:hAnsi="宋体" w:eastAsia="宋体" w:cs="Tahoma"/>
                <w:sz w:val="24"/>
                <w:szCs w:val="24"/>
                <w:lang w:val="en-US" w:eastAsia="zh-CN"/>
              </w:rPr>
              <w:t>/</w:t>
            </w:r>
          </w:p>
        </w:tc>
        <w:tc>
          <w:tcPr>
            <w:tcW w:w="2387" w:type="dxa"/>
            <w:vMerge w:val="continue"/>
            <w:shd w:val="clear" w:color="auto" w:fill="auto"/>
            <w:vAlign w:val="center"/>
          </w:tcPr>
          <w:p w14:paraId="7E06CF39">
            <w:pPr>
              <w:spacing w:line="360" w:lineRule="auto"/>
              <w:rPr>
                <w:rFonts w:hint="eastAsia" w:ascii="宋体" w:hAnsi="宋体" w:eastAsia="宋体"/>
                <w:sz w:val="24"/>
                <w:szCs w:val="24"/>
              </w:rPr>
            </w:pPr>
          </w:p>
        </w:tc>
      </w:tr>
      <w:tr w14:paraId="46A54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4" w:type="dxa"/>
            <w:shd w:val="clear" w:color="auto" w:fill="auto"/>
            <w:vAlign w:val="center"/>
          </w:tcPr>
          <w:p w14:paraId="5877532A">
            <w:pPr>
              <w:spacing w:line="360" w:lineRule="auto"/>
              <w:jc w:val="center"/>
              <w:rPr>
                <w:rFonts w:ascii="宋体" w:hAnsi="宋体" w:eastAsia="宋体"/>
                <w:sz w:val="24"/>
                <w:szCs w:val="24"/>
              </w:rPr>
            </w:pPr>
            <w:r>
              <w:rPr>
                <w:rFonts w:hint="eastAsia" w:ascii="宋体" w:hAnsi="宋体" w:eastAsia="宋体"/>
                <w:sz w:val="24"/>
                <w:szCs w:val="24"/>
              </w:rPr>
              <w:t>E</w:t>
            </w:r>
          </w:p>
        </w:tc>
        <w:tc>
          <w:tcPr>
            <w:tcW w:w="1273" w:type="dxa"/>
            <w:shd w:val="clear" w:color="auto" w:fill="auto"/>
            <w:vAlign w:val="center"/>
          </w:tcPr>
          <w:p w14:paraId="63ED13AC">
            <w:pPr>
              <w:spacing w:line="360" w:lineRule="auto"/>
              <w:jc w:val="center"/>
              <w:rPr>
                <w:rFonts w:ascii="宋体" w:hAnsi="宋体" w:eastAsia="宋体"/>
                <w:sz w:val="24"/>
                <w:szCs w:val="24"/>
              </w:rPr>
            </w:pPr>
            <w:r>
              <w:rPr>
                <w:rFonts w:hint="eastAsia" w:ascii="宋体" w:hAnsi="宋体" w:eastAsia="宋体"/>
                <w:sz w:val="24"/>
                <w:szCs w:val="24"/>
              </w:rPr>
              <w:t>60</w:t>
            </w:r>
          </w:p>
        </w:tc>
        <w:tc>
          <w:tcPr>
            <w:tcW w:w="2025" w:type="dxa"/>
            <w:vMerge w:val="continue"/>
            <w:shd w:val="clear" w:color="auto" w:fill="auto"/>
            <w:vAlign w:val="center"/>
          </w:tcPr>
          <w:p w14:paraId="795C1E77">
            <w:pPr>
              <w:spacing w:line="360" w:lineRule="auto"/>
              <w:ind w:firstLine="480" w:firstLineChars="200"/>
              <w:jc w:val="center"/>
              <w:rPr>
                <w:rFonts w:ascii="宋体" w:hAnsi="宋体" w:eastAsia="宋体"/>
                <w:sz w:val="24"/>
                <w:szCs w:val="24"/>
              </w:rPr>
            </w:pPr>
          </w:p>
        </w:tc>
        <w:tc>
          <w:tcPr>
            <w:tcW w:w="1176" w:type="dxa"/>
            <w:shd w:val="clear" w:color="auto" w:fill="auto"/>
            <w:vAlign w:val="center"/>
          </w:tcPr>
          <w:p w14:paraId="1D7F9E13">
            <w:pPr>
              <w:spacing w:line="360" w:lineRule="auto"/>
              <w:jc w:val="center"/>
              <w:rPr>
                <w:rFonts w:hint="default" w:ascii="宋体" w:hAnsi="宋体" w:eastAsia="宋体"/>
                <w:sz w:val="24"/>
                <w:szCs w:val="24"/>
                <w:lang w:val="en-US" w:eastAsia="zh-CN"/>
              </w:rPr>
            </w:pPr>
            <w:r>
              <w:rPr>
                <w:rFonts w:hint="eastAsia" w:ascii="宋体" w:hAnsi="宋体" w:eastAsia="宋体"/>
                <w:sz w:val="24"/>
                <w:szCs w:val="24"/>
              </w:rPr>
              <w:t>≥</w:t>
            </w:r>
            <w:r>
              <w:rPr>
                <w:rFonts w:hint="eastAsia" w:ascii="宋体" w:hAnsi="宋体" w:eastAsia="宋体"/>
                <w:sz w:val="24"/>
                <w:szCs w:val="24"/>
                <w:lang w:val="en-US" w:eastAsia="zh-CN"/>
              </w:rPr>
              <w:t>23</w:t>
            </w:r>
          </w:p>
        </w:tc>
        <w:tc>
          <w:tcPr>
            <w:tcW w:w="1440" w:type="dxa"/>
            <w:shd w:val="clear" w:color="auto" w:fill="auto"/>
            <w:vAlign w:val="center"/>
          </w:tcPr>
          <w:p w14:paraId="28E0FC41">
            <w:pPr>
              <w:spacing w:line="360" w:lineRule="auto"/>
              <w:jc w:val="center"/>
              <w:rPr>
                <w:rFonts w:hint="eastAsia" w:ascii="宋体" w:hAnsi="宋体" w:eastAsia="宋体"/>
                <w:sz w:val="24"/>
                <w:szCs w:val="24"/>
                <w:lang w:eastAsia="zh-CN"/>
              </w:rPr>
            </w:pPr>
            <w:r>
              <w:rPr>
                <w:rFonts w:hint="eastAsia" w:ascii="宋体" w:hAnsi="宋体" w:eastAsia="宋体"/>
                <w:sz w:val="24"/>
                <w:szCs w:val="24"/>
                <w:lang w:val="en-US" w:eastAsia="zh-CN"/>
              </w:rPr>
              <w:t>8</w:t>
            </w:r>
          </w:p>
        </w:tc>
        <w:tc>
          <w:tcPr>
            <w:tcW w:w="1395" w:type="dxa"/>
            <w:vMerge w:val="continue"/>
            <w:shd w:val="clear" w:color="auto" w:fill="auto"/>
            <w:vAlign w:val="center"/>
          </w:tcPr>
          <w:p w14:paraId="45E05CAA">
            <w:pPr>
              <w:spacing w:line="360" w:lineRule="auto"/>
              <w:jc w:val="center"/>
              <w:rPr>
                <w:rFonts w:ascii="宋体" w:hAnsi="宋体" w:eastAsia="宋体"/>
                <w:sz w:val="24"/>
                <w:szCs w:val="24"/>
              </w:rPr>
            </w:pPr>
          </w:p>
        </w:tc>
        <w:tc>
          <w:tcPr>
            <w:tcW w:w="2387" w:type="dxa"/>
            <w:vMerge w:val="continue"/>
            <w:shd w:val="clear" w:color="auto" w:fill="auto"/>
            <w:vAlign w:val="center"/>
          </w:tcPr>
          <w:p w14:paraId="614E666B">
            <w:pPr>
              <w:spacing w:line="360" w:lineRule="auto"/>
              <w:jc w:val="center"/>
              <w:rPr>
                <w:rFonts w:ascii="宋体" w:hAnsi="宋体" w:eastAsia="宋体"/>
                <w:sz w:val="24"/>
                <w:szCs w:val="24"/>
              </w:rPr>
            </w:pPr>
          </w:p>
        </w:tc>
      </w:tr>
    </w:tbl>
    <w:p w14:paraId="1EDE2EA6">
      <w:pPr>
        <w:spacing w:line="360" w:lineRule="auto"/>
        <w:rPr>
          <w:rFonts w:ascii="宋体" w:hAnsi="宋体" w:eastAsia="宋体"/>
          <w:sz w:val="24"/>
          <w:szCs w:val="24"/>
        </w:rPr>
      </w:pPr>
    </w:p>
    <w:p w14:paraId="6C6BAE31">
      <w:pPr>
        <w:spacing w:after="0" w:line="360" w:lineRule="auto"/>
        <w:ind w:firstLine="480" w:firstLineChars="200"/>
        <w:rPr>
          <w:rFonts w:eastAsiaTheme="minorEastAsia"/>
          <w:color w:val="000000"/>
          <w:sz w:val="28"/>
          <w:szCs w:val="28"/>
        </w:rPr>
      </w:pPr>
      <w:r>
        <w:rPr>
          <w:rFonts w:hint="eastAsia" w:ascii="宋体" w:hAnsi="宋体" w:eastAsia="宋体"/>
          <w:sz w:val="24"/>
          <w:szCs w:val="24"/>
        </w:rPr>
        <w:t>注：高层次人才实行聘任制任务目标管理制度，A1</w:t>
      </w:r>
      <w:r>
        <w:rPr>
          <w:rFonts w:hint="eastAsia" w:ascii="宋体" w:hAnsi="宋体" w:eastAsia="宋体"/>
          <w:sz w:val="24"/>
          <w:szCs w:val="24"/>
          <w:lang w:val="en-US" w:eastAsia="zh-CN"/>
        </w:rPr>
        <w:t>类</w:t>
      </w:r>
      <w:r>
        <w:rPr>
          <w:rFonts w:hint="eastAsia" w:ascii="宋体" w:hAnsi="宋体" w:eastAsia="宋体"/>
          <w:sz w:val="24"/>
          <w:szCs w:val="24"/>
        </w:rPr>
        <w:t>人才实行终身聘任制</w:t>
      </w:r>
      <w:r>
        <w:rPr>
          <w:rFonts w:hint="eastAsia" w:ascii="宋体" w:hAnsi="宋体" w:eastAsia="宋体"/>
          <w:sz w:val="24"/>
          <w:szCs w:val="24"/>
          <w:lang w:eastAsia="zh-CN"/>
        </w:rPr>
        <w:t>，</w:t>
      </w:r>
      <w:r>
        <w:rPr>
          <w:rFonts w:hint="eastAsia" w:ascii="宋体" w:hAnsi="宋体" w:eastAsia="宋体"/>
          <w:sz w:val="24"/>
          <w:szCs w:val="24"/>
        </w:rPr>
        <w:t>A</w:t>
      </w:r>
      <w:r>
        <w:rPr>
          <w:rFonts w:hint="eastAsia" w:ascii="宋体" w:hAnsi="宋体" w:eastAsia="宋体"/>
          <w:sz w:val="24"/>
          <w:szCs w:val="24"/>
          <w:lang w:val="en-US" w:eastAsia="zh-CN"/>
        </w:rPr>
        <w:t>2类</w:t>
      </w:r>
      <w:r>
        <w:rPr>
          <w:rFonts w:hint="eastAsia" w:ascii="宋体" w:hAnsi="宋体" w:eastAsia="宋体"/>
          <w:sz w:val="24"/>
          <w:szCs w:val="24"/>
        </w:rPr>
        <w:t>、</w:t>
      </w:r>
      <w:r>
        <w:rPr>
          <w:rFonts w:hint="eastAsia" w:ascii="宋体" w:hAnsi="宋体" w:eastAsia="宋体"/>
          <w:sz w:val="24"/>
          <w:szCs w:val="24"/>
          <w:lang w:val="en-US" w:eastAsia="zh-CN"/>
        </w:rPr>
        <w:t>B</w:t>
      </w:r>
      <w:r>
        <w:rPr>
          <w:rFonts w:hint="eastAsia" w:ascii="宋体" w:hAnsi="宋体" w:eastAsia="宋体"/>
          <w:sz w:val="24"/>
          <w:szCs w:val="24"/>
        </w:rPr>
        <w:t>、C1类人才首聘期为5年，C2类及以下人才首聘期为3年。</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0095374"/>
    </w:sdtPr>
    <w:sdtContent>
      <w:p w14:paraId="710FD91D">
        <w:pPr>
          <w:pStyle w:val="5"/>
          <w:jc w:val="center"/>
        </w:pPr>
        <w:r>
          <w:fldChar w:fldCharType="begin"/>
        </w:r>
        <w:r>
          <w:instrText xml:space="preserve">PAGE   \* MERGEFORMAT</w:instrText>
        </w:r>
        <w:r>
          <w:fldChar w:fldCharType="separate"/>
        </w:r>
        <w:r>
          <w:rPr>
            <w:lang w:val="zh-CN"/>
          </w:rPr>
          <w:t>4</w:t>
        </w:r>
        <w:r>
          <w:fldChar w:fldCharType="end"/>
        </w:r>
      </w:p>
    </w:sdtContent>
  </w:sdt>
  <w:p w14:paraId="71CDB0BA">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3177D1"/>
    <w:multiLevelType w:val="singleLevel"/>
    <w:tmpl w:val="D93177D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kNTliMGM1MzM0MmM2NTlhZmRiOWI4ZmJlZGU3NGQifQ=="/>
  </w:docVars>
  <w:rsids>
    <w:rsidRoot w:val="00B23FBC"/>
    <w:rsid w:val="000027C5"/>
    <w:rsid w:val="000523F6"/>
    <w:rsid w:val="000A01F5"/>
    <w:rsid w:val="000B16B3"/>
    <w:rsid w:val="00131849"/>
    <w:rsid w:val="001A784C"/>
    <w:rsid w:val="001D4D9A"/>
    <w:rsid w:val="0021215E"/>
    <w:rsid w:val="00224257"/>
    <w:rsid w:val="00260591"/>
    <w:rsid w:val="00264857"/>
    <w:rsid w:val="0026522E"/>
    <w:rsid w:val="00277344"/>
    <w:rsid w:val="002D1BCF"/>
    <w:rsid w:val="002F4366"/>
    <w:rsid w:val="0034324A"/>
    <w:rsid w:val="0037230F"/>
    <w:rsid w:val="003B1F4B"/>
    <w:rsid w:val="003B79A5"/>
    <w:rsid w:val="003F6DB3"/>
    <w:rsid w:val="00481F8C"/>
    <w:rsid w:val="00484A1F"/>
    <w:rsid w:val="004D567D"/>
    <w:rsid w:val="004E1F5E"/>
    <w:rsid w:val="0051615D"/>
    <w:rsid w:val="00534F0E"/>
    <w:rsid w:val="00535E3D"/>
    <w:rsid w:val="00540324"/>
    <w:rsid w:val="005637A9"/>
    <w:rsid w:val="005A1DF5"/>
    <w:rsid w:val="005E7011"/>
    <w:rsid w:val="005F283D"/>
    <w:rsid w:val="00633A64"/>
    <w:rsid w:val="00636F4E"/>
    <w:rsid w:val="006535BC"/>
    <w:rsid w:val="00681BCF"/>
    <w:rsid w:val="00682B48"/>
    <w:rsid w:val="00692490"/>
    <w:rsid w:val="006B0CB5"/>
    <w:rsid w:val="00741585"/>
    <w:rsid w:val="00744950"/>
    <w:rsid w:val="00791885"/>
    <w:rsid w:val="007A4E19"/>
    <w:rsid w:val="007B716B"/>
    <w:rsid w:val="008262A2"/>
    <w:rsid w:val="008522C3"/>
    <w:rsid w:val="00855C2A"/>
    <w:rsid w:val="008701AC"/>
    <w:rsid w:val="008A32F7"/>
    <w:rsid w:val="008A6EB4"/>
    <w:rsid w:val="008F178E"/>
    <w:rsid w:val="0091553C"/>
    <w:rsid w:val="009421C3"/>
    <w:rsid w:val="00992280"/>
    <w:rsid w:val="009A2D6C"/>
    <w:rsid w:val="009A6EE5"/>
    <w:rsid w:val="009F45EF"/>
    <w:rsid w:val="00A22858"/>
    <w:rsid w:val="00A277C2"/>
    <w:rsid w:val="00A4253E"/>
    <w:rsid w:val="00A944BC"/>
    <w:rsid w:val="00B159FF"/>
    <w:rsid w:val="00B23FBC"/>
    <w:rsid w:val="00B73AF0"/>
    <w:rsid w:val="00B80FDA"/>
    <w:rsid w:val="00B95D58"/>
    <w:rsid w:val="00BC25C1"/>
    <w:rsid w:val="00BF3673"/>
    <w:rsid w:val="00BF3BDF"/>
    <w:rsid w:val="00C23123"/>
    <w:rsid w:val="00C304A7"/>
    <w:rsid w:val="00C567B2"/>
    <w:rsid w:val="00C645F8"/>
    <w:rsid w:val="00C7521E"/>
    <w:rsid w:val="00CA6F0A"/>
    <w:rsid w:val="00CD24ED"/>
    <w:rsid w:val="00CD71BC"/>
    <w:rsid w:val="00D328BB"/>
    <w:rsid w:val="00D86536"/>
    <w:rsid w:val="00DB1027"/>
    <w:rsid w:val="00DB4D44"/>
    <w:rsid w:val="00DC74B6"/>
    <w:rsid w:val="00DE456A"/>
    <w:rsid w:val="00E236B9"/>
    <w:rsid w:val="00E312E1"/>
    <w:rsid w:val="00E44A1F"/>
    <w:rsid w:val="00E53875"/>
    <w:rsid w:val="00E56A29"/>
    <w:rsid w:val="00E622C3"/>
    <w:rsid w:val="00F27E0E"/>
    <w:rsid w:val="00F37A23"/>
    <w:rsid w:val="00F43B09"/>
    <w:rsid w:val="00FB2B17"/>
    <w:rsid w:val="01313974"/>
    <w:rsid w:val="03953204"/>
    <w:rsid w:val="07A56875"/>
    <w:rsid w:val="0AE06EF0"/>
    <w:rsid w:val="0DC5083E"/>
    <w:rsid w:val="109B3A94"/>
    <w:rsid w:val="15DA40B7"/>
    <w:rsid w:val="163B121C"/>
    <w:rsid w:val="1D0B5296"/>
    <w:rsid w:val="3F4377A7"/>
    <w:rsid w:val="438A46D5"/>
    <w:rsid w:val="4E1B34EA"/>
    <w:rsid w:val="4E60681C"/>
    <w:rsid w:val="53604906"/>
    <w:rsid w:val="597A7152"/>
    <w:rsid w:val="61EA3023"/>
    <w:rsid w:val="6A6E180C"/>
    <w:rsid w:val="6C132015"/>
    <w:rsid w:val="703F6804"/>
    <w:rsid w:val="71B02F3E"/>
    <w:rsid w:val="7DC16498"/>
    <w:rsid w:val="DEDEAF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8"/>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21"/>
    <w:autoRedefine/>
    <w:unhideWhenUsed/>
    <w:qFormat/>
    <w:uiPriority w:val="9"/>
    <w:pPr>
      <w:keepNext/>
      <w:keepLines/>
      <w:spacing w:before="260" w:after="260" w:line="416" w:lineRule="auto"/>
      <w:outlineLvl w:val="2"/>
    </w:pPr>
    <w:rPr>
      <w:b/>
      <w:bCs/>
      <w:sz w:val="32"/>
      <w:szCs w:val="32"/>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4">
    <w:name w:val="Balloon Text"/>
    <w:basedOn w:val="1"/>
    <w:link w:val="17"/>
    <w:autoRedefine/>
    <w:semiHidden/>
    <w:unhideWhenUsed/>
    <w:qFormat/>
    <w:uiPriority w:val="99"/>
    <w:rPr>
      <w:sz w:val="18"/>
      <w:szCs w:val="18"/>
    </w:rPr>
  </w:style>
  <w:style w:type="paragraph" w:styleId="5">
    <w:name w:val="footer"/>
    <w:basedOn w:val="1"/>
    <w:link w:val="16"/>
    <w:autoRedefine/>
    <w:unhideWhenUsed/>
    <w:qFormat/>
    <w:uiPriority w:val="99"/>
    <w:pPr>
      <w:tabs>
        <w:tab w:val="center" w:pos="4153"/>
        <w:tab w:val="right" w:pos="8306"/>
      </w:tabs>
      <w:snapToGrid w:val="0"/>
      <w:jc w:val="left"/>
    </w:pPr>
    <w:rPr>
      <w:sz w:val="18"/>
      <w:szCs w:val="18"/>
    </w:rPr>
  </w:style>
  <w:style w:type="paragraph" w:styleId="6">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autoRedefine/>
    <w:unhideWhenUsed/>
    <w:qFormat/>
    <w:uiPriority w:val="9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autoRedefine/>
    <w:qFormat/>
    <w:uiPriority w:val="22"/>
    <w:rPr>
      <w:b/>
      <w:bCs/>
    </w:rPr>
  </w:style>
  <w:style w:type="character" w:styleId="12">
    <w:name w:val="page number"/>
    <w:autoRedefine/>
    <w:qFormat/>
    <w:uiPriority w:val="99"/>
    <w:rPr>
      <w:rFonts w:cs="Times New Roman"/>
    </w:rPr>
  </w:style>
  <w:style w:type="character" w:styleId="13">
    <w:name w:val="Emphasis"/>
    <w:basedOn w:val="10"/>
    <w:autoRedefine/>
    <w:qFormat/>
    <w:uiPriority w:val="20"/>
    <w:rPr>
      <w:i/>
      <w:iCs/>
    </w:rPr>
  </w:style>
  <w:style w:type="character" w:styleId="14">
    <w:name w:val="Hyperlink"/>
    <w:basedOn w:val="10"/>
    <w:unhideWhenUsed/>
    <w:qFormat/>
    <w:uiPriority w:val="99"/>
    <w:rPr>
      <w:color w:val="0000FF" w:themeColor="hyperlink"/>
      <w:u w:val="single"/>
      <w14:textFill>
        <w14:solidFill>
          <w14:schemeClr w14:val="hlink"/>
        </w14:solidFill>
      </w14:textFill>
    </w:rPr>
  </w:style>
  <w:style w:type="character" w:customStyle="1" w:styleId="15">
    <w:name w:val="页眉 Char"/>
    <w:basedOn w:val="10"/>
    <w:link w:val="6"/>
    <w:autoRedefine/>
    <w:qFormat/>
    <w:uiPriority w:val="99"/>
    <w:rPr>
      <w:sz w:val="18"/>
      <w:szCs w:val="18"/>
    </w:rPr>
  </w:style>
  <w:style w:type="character" w:customStyle="1" w:styleId="16">
    <w:name w:val="页脚 Char"/>
    <w:basedOn w:val="10"/>
    <w:link w:val="5"/>
    <w:autoRedefine/>
    <w:qFormat/>
    <w:uiPriority w:val="99"/>
    <w:rPr>
      <w:sz w:val="18"/>
      <w:szCs w:val="18"/>
    </w:rPr>
  </w:style>
  <w:style w:type="character" w:customStyle="1" w:styleId="17">
    <w:name w:val="批注框文本 Char"/>
    <w:basedOn w:val="10"/>
    <w:link w:val="4"/>
    <w:autoRedefine/>
    <w:semiHidden/>
    <w:qFormat/>
    <w:uiPriority w:val="99"/>
    <w:rPr>
      <w:sz w:val="18"/>
      <w:szCs w:val="18"/>
    </w:rPr>
  </w:style>
  <w:style w:type="character" w:customStyle="1" w:styleId="18">
    <w:name w:val="标题 2 Char"/>
    <w:basedOn w:val="10"/>
    <w:link w:val="2"/>
    <w:autoRedefine/>
    <w:qFormat/>
    <w:uiPriority w:val="9"/>
    <w:rPr>
      <w:rFonts w:asciiTheme="majorHAnsi" w:hAnsiTheme="majorHAnsi" w:eastAsiaTheme="majorEastAsia" w:cstheme="majorBidi"/>
      <w:b/>
      <w:bCs/>
      <w:sz w:val="32"/>
      <w:szCs w:val="32"/>
    </w:rPr>
  </w:style>
  <w:style w:type="character" w:customStyle="1" w:styleId="19">
    <w:name w:val="rich_media_meta"/>
    <w:basedOn w:val="10"/>
    <w:qFormat/>
    <w:uiPriority w:val="0"/>
  </w:style>
  <w:style w:type="character" w:customStyle="1" w:styleId="20">
    <w:name w:val="apple-converted-space"/>
    <w:basedOn w:val="10"/>
    <w:qFormat/>
    <w:uiPriority w:val="0"/>
  </w:style>
  <w:style w:type="character" w:customStyle="1" w:styleId="21">
    <w:name w:val="标题 3 Char"/>
    <w:basedOn w:val="10"/>
    <w:link w:val="3"/>
    <w:autoRedefine/>
    <w:qFormat/>
    <w:uiPriority w:val="9"/>
    <w:rPr>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Pages>
  <Words>2124</Words>
  <Characters>2193</Characters>
  <Lines>15</Lines>
  <Paragraphs>4</Paragraphs>
  <TotalTime>8</TotalTime>
  <ScaleCrop>false</ScaleCrop>
  <LinksUpToDate>false</LinksUpToDate>
  <CharactersWithSpaces>2236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2022-03-10T17:24:00Z</dcterms:created>
  <dc:creator>吴蓓</dc:creator>
  <cp:lastModifiedBy>傑</cp:lastModifiedBy>
  <cp:lastPrinted>2019-02-28T08:21:00Z</cp:lastPrinted>
  <dcterms:modified xsi:type="dcterms:W3CDTF">2025-02-06T09:32:00Z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F3F14552C8F54923AB7EC98C816D97BA</vt:lpwstr>
  </property>
  <property fmtid="{D5CDD505-2E9C-101B-9397-08002B2CF9AE}" pid="4" name="KSOTemplateDocerSaveRecord">
    <vt:lpwstr>eyJoZGlkIjoiN2JjZTM0YTcwZDFiZjIzZTI1NWE3NGQyMDNjNzhlNmMiLCJ1c2VySWQiOiI1NzUwNjA2MzEifQ==</vt:lpwstr>
  </property>
</Properties>
</file>