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2025年度选聘有关师范类高校名单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>
      <w:pPr>
        <w:bidi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重点院校重点学科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7D09"/>
    <w:rsid w:val="7FF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2025-01-06T15:05:00Z</dcterms:created>
  <dc:creator>DELL</dc:creator>
  <cp:lastModifiedBy>uos</cp:lastModifiedBy>
  <dcterms:modified xsi:type="dcterms:W3CDTF">2025-02-13T15:56:54Z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eyJoZGlkIjoiYzA1NGNmN2Q1ZjQ0YzBiMjk5M2RkNTM3ODJlNmM2MWMifQ==</vt:lpwstr>
  </property>
  <property fmtid="{D5CDD505-2E9C-101B-9397-08002B2CF9AE}" pid="4" name="ICV">
    <vt:lpwstr>6CBCD9867EF84F51BB3ACF0D5AEC95DE_12</vt:lpwstr>
  </property>
</Properties>
</file>