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FD40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Times New Roman"/>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 xml:space="preserve">附件1       </w:t>
      </w:r>
      <w:r>
        <w:rPr>
          <w:rFonts w:hint="default" w:ascii="Times New Roman" w:hAnsi="Times New Roman" w:eastAsia="方正小标宋简体" w:cs="Times New Roman"/>
          <w:color w:val="000000" w:themeColor="text1"/>
          <w:sz w:val="32"/>
          <w:szCs w:val="32"/>
          <w:highlight w:val="none"/>
          <w:lang w:eastAsia="zh-CN"/>
          <w14:textFill>
            <w14:solidFill>
              <w14:schemeClr w14:val="tx1"/>
            </w14:solidFill>
          </w14:textFill>
        </w:rPr>
        <w:t>武义县</w:t>
      </w:r>
      <w:r>
        <w:rPr>
          <w:rFonts w:hint="default" w:ascii="Times New Roman" w:hAnsi="Times New Roman" w:eastAsia="方正小标宋简体" w:cs="Times New Roman"/>
          <w:color w:val="000000" w:themeColor="text1"/>
          <w:sz w:val="32"/>
          <w:szCs w:val="32"/>
          <w:highlight w:val="none"/>
          <w14:textFill>
            <w14:solidFill>
              <w14:schemeClr w14:val="tx1"/>
            </w14:solidFill>
          </w14:textFill>
        </w:rPr>
        <w:t>面</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武义县教育系统面向2025届高校毕业生及优秀教师招聘计划（三）</w:t>
      </w:r>
      <w:r>
        <w:rPr>
          <w:rFonts w:hint="default" w:ascii="Times New Roman" w:hAnsi="Times New Roman" w:eastAsia="方正小标宋简体" w:cs="Times New Roman"/>
          <w:color w:val="000000" w:themeColor="text1"/>
          <w:sz w:val="32"/>
          <w:szCs w:val="32"/>
          <w:highlight w:val="none"/>
          <w:lang w:eastAsia="zh-CN"/>
          <w14:textFill>
            <w14:solidFill>
              <w14:schemeClr w14:val="tx1"/>
            </w14:solidFill>
          </w14:textFill>
        </w:rPr>
        <w:t>普</w:t>
      </w:r>
      <w:r>
        <w:rPr>
          <w:rFonts w:hint="default" w:ascii="Times New Roman" w:hAnsi="Times New Roman" w:eastAsia="方正小标宋简体" w:cs="Times New Roman"/>
          <w:color w:val="000000" w:themeColor="text1"/>
          <w:sz w:val="32"/>
          <w:szCs w:val="32"/>
          <w:highlight w:val="none"/>
          <w14:textFill>
            <w14:solidFill>
              <w14:schemeClr w14:val="tx1"/>
            </w14:solidFill>
          </w14:textFill>
        </w:rPr>
        <w:t>聘计</w:t>
      </w:r>
    </w:p>
    <w:tbl>
      <w:tblPr>
        <w:tblStyle w:val="7"/>
        <w:tblW w:w="15337"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2061"/>
        <w:gridCol w:w="656"/>
        <w:gridCol w:w="690"/>
        <w:gridCol w:w="6810"/>
        <w:gridCol w:w="4436"/>
      </w:tblGrid>
      <w:tr w14:paraId="28E0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4" w:type="dxa"/>
            <w:vMerge w:val="restart"/>
            <w:tcBorders>
              <w:top w:val="single" w:color="000000" w:sz="4" w:space="0"/>
              <w:left w:val="single" w:color="000000" w:sz="4" w:space="0"/>
              <w:right w:val="single" w:color="000000" w:sz="4" w:space="0"/>
            </w:tcBorders>
            <w:noWrap/>
            <w:vAlign w:val="center"/>
          </w:tcPr>
          <w:p w14:paraId="13231E9C">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招聘学段</w:t>
            </w:r>
          </w:p>
        </w:tc>
        <w:tc>
          <w:tcPr>
            <w:tcW w:w="2061" w:type="dxa"/>
            <w:vMerge w:val="restart"/>
            <w:tcBorders>
              <w:top w:val="single" w:color="000000" w:sz="4" w:space="0"/>
              <w:left w:val="single" w:color="000000" w:sz="4" w:space="0"/>
              <w:right w:val="single" w:color="000000" w:sz="4" w:space="0"/>
            </w:tcBorders>
            <w:noWrap/>
            <w:vAlign w:val="center"/>
          </w:tcPr>
          <w:p w14:paraId="76095B3B">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招聘学校</w:t>
            </w:r>
          </w:p>
        </w:tc>
        <w:tc>
          <w:tcPr>
            <w:tcW w:w="656" w:type="dxa"/>
            <w:vMerge w:val="restart"/>
            <w:tcBorders>
              <w:top w:val="single" w:color="000000" w:sz="4" w:space="0"/>
              <w:left w:val="single" w:color="000000" w:sz="4" w:space="0"/>
              <w:right w:val="single" w:color="000000" w:sz="4" w:space="0"/>
            </w:tcBorders>
            <w:noWrap/>
            <w:vAlign w:val="center"/>
          </w:tcPr>
          <w:p w14:paraId="18451E0B">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招聘学科</w:t>
            </w:r>
          </w:p>
        </w:tc>
        <w:tc>
          <w:tcPr>
            <w:tcW w:w="690" w:type="dxa"/>
            <w:vMerge w:val="restart"/>
            <w:tcBorders>
              <w:top w:val="single" w:color="000000" w:sz="4" w:space="0"/>
              <w:left w:val="single" w:color="000000" w:sz="4" w:space="0"/>
              <w:right w:val="single" w:color="000000" w:sz="4" w:space="0"/>
            </w:tcBorders>
            <w:noWrap/>
            <w:vAlign w:val="center"/>
          </w:tcPr>
          <w:p w14:paraId="3435A145">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招聘计划</w:t>
            </w:r>
          </w:p>
        </w:tc>
        <w:tc>
          <w:tcPr>
            <w:tcW w:w="11246" w:type="dxa"/>
            <w:gridSpan w:val="2"/>
            <w:tcBorders>
              <w:top w:val="single" w:color="000000" w:sz="4" w:space="0"/>
              <w:left w:val="single" w:color="000000" w:sz="4" w:space="0"/>
              <w:bottom w:val="single" w:color="000000" w:sz="4" w:space="0"/>
              <w:right w:val="single" w:color="000000" w:sz="4" w:space="0"/>
            </w:tcBorders>
            <w:noWrap/>
            <w:vAlign w:val="center"/>
          </w:tcPr>
          <w:p w14:paraId="75ACA310">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招聘条件</w:t>
            </w:r>
          </w:p>
        </w:tc>
      </w:tr>
      <w:tr w14:paraId="2849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84" w:type="dxa"/>
            <w:vMerge w:val="continue"/>
            <w:tcBorders>
              <w:left w:val="single" w:color="000000" w:sz="4" w:space="0"/>
              <w:bottom w:val="single" w:color="000000" w:sz="4" w:space="0"/>
              <w:right w:val="single" w:color="000000" w:sz="4" w:space="0"/>
            </w:tcBorders>
            <w:noWrap/>
            <w:vAlign w:val="center"/>
          </w:tcPr>
          <w:p w14:paraId="165E3F8F">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2061" w:type="dxa"/>
            <w:vMerge w:val="continue"/>
            <w:tcBorders>
              <w:left w:val="single" w:color="000000" w:sz="4" w:space="0"/>
              <w:bottom w:val="single" w:color="000000" w:sz="4" w:space="0"/>
              <w:right w:val="single" w:color="000000" w:sz="4" w:space="0"/>
            </w:tcBorders>
            <w:noWrap/>
            <w:vAlign w:val="center"/>
          </w:tcPr>
          <w:p w14:paraId="013AE362">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656" w:type="dxa"/>
            <w:vMerge w:val="continue"/>
            <w:tcBorders>
              <w:left w:val="single" w:color="000000" w:sz="4" w:space="0"/>
              <w:bottom w:val="single" w:color="000000" w:sz="4" w:space="0"/>
              <w:right w:val="single" w:color="000000" w:sz="4" w:space="0"/>
            </w:tcBorders>
            <w:noWrap/>
            <w:vAlign w:val="center"/>
          </w:tcPr>
          <w:p w14:paraId="6522949A">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690" w:type="dxa"/>
            <w:vMerge w:val="continue"/>
            <w:tcBorders>
              <w:left w:val="single" w:color="000000" w:sz="4" w:space="0"/>
              <w:bottom w:val="single" w:color="000000" w:sz="4" w:space="0"/>
              <w:right w:val="single" w:color="000000" w:sz="4" w:space="0"/>
            </w:tcBorders>
            <w:noWrap/>
            <w:vAlign w:val="center"/>
          </w:tcPr>
          <w:p w14:paraId="1ABBEE15">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6810" w:type="dxa"/>
            <w:tcBorders>
              <w:top w:val="single" w:color="000000" w:sz="4" w:space="0"/>
              <w:left w:val="single" w:color="000000" w:sz="4" w:space="0"/>
              <w:bottom w:val="single" w:color="000000" w:sz="4" w:space="0"/>
              <w:right w:val="single" w:color="000000" w:sz="4" w:space="0"/>
            </w:tcBorders>
            <w:noWrap/>
            <w:vAlign w:val="center"/>
          </w:tcPr>
          <w:p w14:paraId="13214548">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0"/>
                <w:szCs w:val="20"/>
                <w:highlight w:val="none"/>
                <w:u w:val="none"/>
                <w:lang w:val="en-US" w:eastAsia="zh-CN" w:bidi="ar"/>
                <w14:textFill>
                  <w14:solidFill>
                    <w14:schemeClr w14:val="tx1"/>
                  </w14:solidFill>
                </w14:textFill>
              </w:rPr>
              <w:t>2025届普通高校毕业生</w:t>
            </w:r>
          </w:p>
        </w:tc>
        <w:tc>
          <w:tcPr>
            <w:tcW w:w="4436" w:type="dxa"/>
            <w:tcBorders>
              <w:top w:val="single" w:color="000000" w:sz="4" w:space="0"/>
              <w:left w:val="single" w:color="000000" w:sz="4" w:space="0"/>
              <w:bottom w:val="single" w:color="000000" w:sz="4" w:space="0"/>
              <w:right w:val="single" w:color="000000" w:sz="4" w:space="0"/>
            </w:tcBorders>
            <w:noWrap/>
            <w:vAlign w:val="center"/>
          </w:tcPr>
          <w:p w14:paraId="6839125C">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优秀教师</w:t>
            </w:r>
          </w:p>
        </w:tc>
      </w:tr>
      <w:tr w14:paraId="1363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684" w:type="dxa"/>
            <w:vMerge w:val="restart"/>
            <w:tcBorders>
              <w:top w:val="single" w:color="000000" w:sz="4" w:space="0"/>
              <w:left w:val="single" w:color="000000" w:sz="4" w:space="0"/>
              <w:right w:val="single" w:color="000000" w:sz="4" w:space="0"/>
            </w:tcBorders>
            <w:noWrap/>
            <w:vAlign w:val="center"/>
          </w:tcPr>
          <w:p w14:paraId="4CDEF5E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高中</w:t>
            </w:r>
          </w:p>
        </w:tc>
        <w:tc>
          <w:tcPr>
            <w:tcW w:w="2061" w:type="dxa"/>
            <w:vMerge w:val="restart"/>
            <w:tcBorders>
              <w:top w:val="single" w:color="000000" w:sz="4" w:space="0"/>
              <w:left w:val="single" w:color="000000" w:sz="4" w:space="0"/>
              <w:right w:val="single" w:color="000000" w:sz="4" w:space="0"/>
            </w:tcBorders>
            <w:noWrap/>
            <w:vAlign w:val="center"/>
          </w:tcPr>
          <w:p w14:paraId="3D60BEE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浙江省武义第二中学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EAE392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语文</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7A90AD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6810" w:type="dxa"/>
            <w:vMerge w:val="restart"/>
            <w:tcBorders>
              <w:top w:val="single" w:color="000000" w:sz="4" w:space="0"/>
              <w:left w:val="single" w:color="000000" w:sz="4" w:space="0"/>
              <w:right w:val="single" w:color="000000" w:sz="4" w:space="0"/>
            </w:tcBorders>
            <w:noWrap/>
            <w:vAlign w:val="center"/>
          </w:tcPr>
          <w:p w14:paraId="3CCE2556">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一、年龄要求</w:t>
            </w:r>
          </w:p>
          <w:p w14:paraId="3DE31F72">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周岁及以下（19</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89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月以后出生）</w:t>
            </w:r>
          </w:p>
          <w:p w14:paraId="4CD5C4B6">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二、学历学位</w:t>
            </w:r>
          </w:p>
          <w:p w14:paraId="252300D4">
            <w:pPr>
              <w:keepNext w:val="0"/>
              <w:keepLines w:val="0"/>
              <w:widowControl/>
              <w:suppressLineNumbers w:val="0"/>
              <w:jc w:val="left"/>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及以上学历</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、学士及以上学位</w:t>
            </w:r>
          </w:p>
          <w:p w14:paraId="55AA713B">
            <w:pPr>
              <w:keepNext w:val="0"/>
              <w:keepLines w:val="0"/>
              <w:widowControl/>
              <w:suppressLineNumbers w:val="0"/>
              <w:jc w:val="left"/>
              <w:textAlignment w:val="center"/>
              <w:rPr>
                <w:rFonts w:hint="eastAsia"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三、专业要求</w:t>
            </w:r>
          </w:p>
          <w:p w14:paraId="0C583F6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须满足以下专业要求之一：</w:t>
            </w:r>
          </w:p>
          <w:p w14:paraId="5F69372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研究生的研究方向须与岗位专业需求一致，本科或研究生阶段为师范类专业；</w:t>
            </w:r>
          </w:p>
          <w:p w14:paraId="7B535943">
            <w:pPr>
              <w:keepNext w:val="0"/>
              <w:keepLines w:val="0"/>
              <w:widowControl/>
              <w:suppressLineNumbers w:val="0"/>
              <w:jc w:val="left"/>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国家“双一流”建设高校对应建设学科本科及以上毕业生，所学专业与应聘学科需求专业相近或相似（结合教育部普通高等教育专业目录及招聘岗位实际予以综合认定）。</w:t>
            </w:r>
          </w:p>
          <w:p w14:paraId="5980975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.师范类</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本科毕业生，所学专业须与应聘学科</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一致，同时</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符合以下学科</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要求：</w:t>
            </w:r>
          </w:p>
          <w:p w14:paraId="549F132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（1）普通教育类：就读专业为特控线录取，外省毕业生以浙江省对应年份对应专业的录取批次为参照。</w:t>
            </w:r>
          </w:p>
          <w:p w14:paraId="3D853FF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（2）体育类：要求首批录取（一段线）或省部属重点建设高校师范类（教育）专业。</w:t>
            </w:r>
          </w:p>
          <w:p w14:paraId="1499FDE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.国（境）外毕业生就读学校须是位列ARWU、THE、U.S.News、QS世界大学最新综合排名前100的高校，所学专业和毕业时间等信息以教育部留学服务中心出具的认证书为准，且本科或研究生阶段为师范类专业。</w:t>
            </w:r>
          </w:p>
          <w:p w14:paraId="1CAC6A52">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四、</w:t>
            </w: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学业成绩要求</w:t>
            </w:r>
          </w:p>
          <w:p w14:paraId="2684C0A5">
            <w:pPr>
              <w:keepNext w:val="0"/>
              <w:keepLines w:val="0"/>
              <w:widowControl/>
              <w:suppressLineNumbers w:val="0"/>
              <w:jc w:val="left"/>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本科生学习成绩要求前三年综合成绩在本专业年级排名前</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6</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p w14:paraId="40BE3AD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2.浙江师范大学初阳学院、杭州师范大学经亨颐学院（含经亨颐实验班）师范类本科毕业生、国家“双一流”建设高校本科毕业生</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要求前三年综合成绩在本专业年级排名前</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8</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p w14:paraId="14D48C5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研究生不作成绩要求。</w:t>
            </w:r>
          </w:p>
        </w:tc>
        <w:tc>
          <w:tcPr>
            <w:tcW w:w="4436" w:type="dxa"/>
            <w:vMerge w:val="restart"/>
            <w:tcBorders>
              <w:top w:val="single" w:color="000000" w:sz="4" w:space="0"/>
              <w:left w:val="single" w:color="000000" w:sz="4" w:space="0"/>
              <w:right w:val="single" w:color="000000" w:sz="4" w:space="0"/>
            </w:tcBorders>
            <w:noWrap/>
            <w:vAlign w:val="center"/>
          </w:tcPr>
          <w:p w14:paraId="79F9B3FA">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一、年龄要求</w:t>
            </w:r>
          </w:p>
          <w:p w14:paraId="19F7113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具有硕士研究生学历的教师，年龄要求在35周岁以下（198</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月以后出生）；</w:t>
            </w:r>
          </w:p>
          <w:p w14:paraId="2BDF859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具有博士研究生学历或中小学高级教师及以上职称的教师，年龄要求在45周岁以下（19</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79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月以后出生）。</w:t>
            </w:r>
          </w:p>
          <w:p w14:paraId="5F49F0A8">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二、学历学位及职称要求</w:t>
            </w:r>
          </w:p>
          <w:p w14:paraId="4A11F65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具有硕士研究生及以上学历或中小学高级教师及以上职称。</w:t>
            </w:r>
          </w:p>
          <w:p w14:paraId="0F6D9F1C">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三、其他要求</w:t>
            </w:r>
          </w:p>
          <w:p w14:paraId="36D49BE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1.曾获得以下荣誉称号之一：</w:t>
            </w:r>
          </w:p>
          <w:p w14:paraId="3812117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（1）全国模范教师</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全国优秀教师、全国优秀班主任、全国教书育人楷模、省特级教师、省教学名师等相当专业荣誉的教师。</w:t>
            </w:r>
          </w:p>
          <w:p w14:paraId="6B619D3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（2）近五年所辅导的学生获得过全国高中奥林匹克竞赛（数学、物理、化学、生物、信息）全国金牌的且承担主教练工作的教师。</w:t>
            </w:r>
          </w:p>
          <w:p w14:paraId="62DE852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全国职业院校技能大赛二等奖及以上或省级职业院校技能大赛一等奖者；省级及以上技术能手；世界技能大赛国家集训队成员；参加人社部门或教育部门组织的职业技能大赛获省级前三名、国家级前六名者；指导学生获得全国职业院校技能大赛一等奖的优秀指导教师。</w:t>
            </w:r>
          </w:p>
          <w:p w14:paraId="2CBA24C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（4）曾获得相应学科县级及以上教坛新苗、教学能手、教坛新秀、名师，地级市优质课一等奖及以上等荣誉的教师。</w:t>
            </w:r>
          </w:p>
          <w:p w14:paraId="457FC8F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2.具有相应岗位的教师资格证书。</w:t>
            </w:r>
          </w:p>
        </w:tc>
      </w:tr>
      <w:tr w14:paraId="73AF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684" w:type="dxa"/>
            <w:vMerge w:val="continue"/>
            <w:tcBorders>
              <w:left w:val="single" w:color="000000" w:sz="4" w:space="0"/>
              <w:right w:val="single" w:color="000000" w:sz="4" w:space="0"/>
            </w:tcBorders>
            <w:noWrap/>
            <w:vAlign w:val="center"/>
          </w:tcPr>
          <w:p w14:paraId="30E418D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061" w:type="dxa"/>
            <w:vMerge w:val="continue"/>
            <w:tcBorders>
              <w:left w:val="single" w:color="000000" w:sz="4" w:space="0"/>
              <w:right w:val="single" w:color="000000" w:sz="4" w:space="0"/>
            </w:tcBorders>
            <w:noWrap/>
            <w:vAlign w:val="center"/>
          </w:tcPr>
          <w:p w14:paraId="6C13A2E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980738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数学</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C9E7AA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6810" w:type="dxa"/>
            <w:vMerge w:val="continue"/>
            <w:tcBorders>
              <w:left w:val="single" w:color="000000" w:sz="4" w:space="0"/>
              <w:right w:val="single" w:color="000000" w:sz="4" w:space="0"/>
            </w:tcBorders>
            <w:noWrap/>
            <w:vAlign w:val="center"/>
          </w:tcPr>
          <w:p w14:paraId="0F3ABE1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436" w:type="dxa"/>
            <w:vMerge w:val="continue"/>
            <w:tcBorders>
              <w:left w:val="single" w:color="000000" w:sz="4" w:space="0"/>
              <w:right w:val="single" w:color="000000" w:sz="4" w:space="0"/>
            </w:tcBorders>
            <w:noWrap/>
            <w:vAlign w:val="center"/>
          </w:tcPr>
          <w:p w14:paraId="084A51C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5036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684" w:type="dxa"/>
            <w:vMerge w:val="continue"/>
            <w:tcBorders>
              <w:left w:val="single" w:color="000000" w:sz="4" w:space="0"/>
              <w:right w:val="single" w:color="000000" w:sz="4" w:space="0"/>
            </w:tcBorders>
            <w:noWrap/>
            <w:vAlign w:val="center"/>
          </w:tcPr>
          <w:p w14:paraId="38A90F1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061" w:type="dxa"/>
            <w:vMerge w:val="continue"/>
            <w:tcBorders>
              <w:left w:val="single" w:color="000000" w:sz="4" w:space="0"/>
              <w:bottom w:val="single" w:color="000000" w:sz="4" w:space="0"/>
              <w:right w:val="single" w:color="000000" w:sz="4" w:space="0"/>
            </w:tcBorders>
            <w:noWrap/>
            <w:vAlign w:val="center"/>
          </w:tcPr>
          <w:p w14:paraId="41A83D7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7FDB0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地理</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CF111D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6810" w:type="dxa"/>
            <w:vMerge w:val="continue"/>
            <w:tcBorders>
              <w:left w:val="single" w:color="000000" w:sz="4" w:space="0"/>
              <w:right w:val="single" w:color="000000" w:sz="4" w:space="0"/>
            </w:tcBorders>
            <w:noWrap/>
            <w:vAlign w:val="center"/>
          </w:tcPr>
          <w:p w14:paraId="10CB83C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436" w:type="dxa"/>
            <w:vMerge w:val="continue"/>
            <w:tcBorders>
              <w:left w:val="single" w:color="000000" w:sz="4" w:space="0"/>
              <w:right w:val="single" w:color="000000" w:sz="4" w:space="0"/>
            </w:tcBorders>
            <w:noWrap/>
            <w:vAlign w:val="center"/>
          </w:tcPr>
          <w:p w14:paraId="49D45F4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336D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684" w:type="dxa"/>
            <w:vMerge w:val="continue"/>
            <w:tcBorders>
              <w:left w:val="single" w:color="000000" w:sz="4" w:space="0"/>
              <w:right w:val="single" w:color="000000" w:sz="4" w:space="0"/>
            </w:tcBorders>
            <w:noWrap/>
            <w:vAlign w:val="center"/>
          </w:tcPr>
          <w:p w14:paraId="7967EC7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061" w:type="dxa"/>
            <w:tcBorders>
              <w:top w:val="single" w:color="000000" w:sz="4" w:space="0"/>
              <w:left w:val="single" w:color="000000" w:sz="4" w:space="0"/>
              <w:bottom w:val="single" w:color="000000" w:sz="4" w:space="0"/>
              <w:right w:val="single" w:color="000000" w:sz="4" w:space="0"/>
            </w:tcBorders>
            <w:noWrap/>
            <w:vAlign w:val="center"/>
          </w:tcPr>
          <w:p w14:paraId="61A1105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浙江省武义第三中学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F1EA9C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地理</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3486F0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6810" w:type="dxa"/>
            <w:vMerge w:val="continue"/>
            <w:tcBorders>
              <w:left w:val="single" w:color="000000" w:sz="4" w:space="0"/>
              <w:right w:val="single" w:color="000000" w:sz="4" w:space="0"/>
            </w:tcBorders>
            <w:noWrap/>
            <w:vAlign w:val="center"/>
          </w:tcPr>
          <w:p w14:paraId="5D4C359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436" w:type="dxa"/>
            <w:vMerge w:val="continue"/>
            <w:tcBorders>
              <w:left w:val="single" w:color="000000" w:sz="4" w:space="0"/>
              <w:right w:val="single" w:color="000000" w:sz="4" w:space="0"/>
            </w:tcBorders>
            <w:noWrap/>
            <w:vAlign w:val="center"/>
          </w:tcPr>
          <w:p w14:paraId="7C93745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460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684" w:type="dxa"/>
            <w:vMerge w:val="restart"/>
            <w:tcBorders>
              <w:top w:val="single" w:color="auto" w:sz="4" w:space="0"/>
              <w:left w:val="single" w:color="000000" w:sz="4" w:space="0"/>
              <w:right w:val="single" w:color="000000" w:sz="4" w:space="0"/>
            </w:tcBorders>
            <w:noWrap/>
            <w:vAlign w:val="center"/>
          </w:tcPr>
          <w:p w14:paraId="64A28EF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C2B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浙江省武义县金穗民族中学</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FBF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数学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61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6810" w:type="dxa"/>
            <w:vMerge w:val="continue"/>
            <w:tcBorders>
              <w:left w:val="single" w:color="000000" w:sz="4" w:space="0"/>
              <w:right w:val="single" w:color="000000" w:sz="4" w:space="0"/>
            </w:tcBorders>
            <w:noWrap/>
            <w:vAlign w:val="center"/>
          </w:tcPr>
          <w:p w14:paraId="781A073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436" w:type="dxa"/>
            <w:vMerge w:val="continue"/>
            <w:tcBorders>
              <w:left w:val="single" w:color="000000" w:sz="4" w:space="0"/>
              <w:right w:val="single" w:color="000000" w:sz="4" w:space="0"/>
            </w:tcBorders>
            <w:noWrap/>
            <w:vAlign w:val="center"/>
          </w:tcPr>
          <w:p w14:paraId="08393F1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3CC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684" w:type="dxa"/>
            <w:vMerge w:val="continue"/>
            <w:tcBorders>
              <w:left w:val="single" w:color="000000" w:sz="4" w:space="0"/>
              <w:right w:val="single" w:color="000000" w:sz="4" w:space="0"/>
            </w:tcBorders>
            <w:noWrap/>
            <w:vAlign w:val="center"/>
          </w:tcPr>
          <w:p w14:paraId="398F5FB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D748">
            <w:pPr>
              <w:keepNext w:val="0"/>
              <w:keepLines w:val="0"/>
              <w:widowControl/>
              <w:suppressLineNumbers w:val="0"/>
              <w:jc w:val="left"/>
              <w:textAlignment w:val="center"/>
              <w:rPr>
                <w:rFonts w:hint="eastAsia" w:ascii="Times New Roman" w:hAnsi="Times New Roman" w:eastAsia="仿宋_GB2312" w:cs="Times New Roman"/>
                <w:b/>
                <w:bCs/>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武义县泉溪中学（新）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2FE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数学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76D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6810" w:type="dxa"/>
            <w:vMerge w:val="continue"/>
            <w:tcBorders>
              <w:left w:val="single" w:color="000000" w:sz="4" w:space="0"/>
              <w:right w:val="single" w:color="000000" w:sz="4" w:space="0"/>
            </w:tcBorders>
            <w:noWrap/>
            <w:vAlign w:val="center"/>
          </w:tcPr>
          <w:p w14:paraId="2B330BD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436" w:type="dxa"/>
            <w:vMerge w:val="continue"/>
            <w:tcBorders>
              <w:left w:val="single" w:color="000000" w:sz="4" w:space="0"/>
              <w:right w:val="single" w:color="000000" w:sz="4" w:space="0"/>
            </w:tcBorders>
            <w:noWrap/>
            <w:vAlign w:val="center"/>
          </w:tcPr>
          <w:p w14:paraId="38F82D4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6B9A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exact"/>
        </w:trPr>
        <w:tc>
          <w:tcPr>
            <w:tcW w:w="684" w:type="dxa"/>
            <w:tcBorders>
              <w:top w:val="single" w:color="auto" w:sz="4" w:space="0"/>
              <w:left w:val="single" w:color="auto" w:sz="4" w:space="0"/>
              <w:bottom w:val="single" w:color="auto" w:sz="4" w:space="0"/>
              <w:right w:val="single" w:color="auto" w:sz="4" w:space="0"/>
            </w:tcBorders>
            <w:noWrap/>
            <w:vAlign w:val="center"/>
          </w:tcPr>
          <w:p w14:paraId="33C0466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小学</w:t>
            </w:r>
          </w:p>
        </w:tc>
        <w:tc>
          <w:tcPr>
            <w:tcW w:w="2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C5289">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武义县柳城畲族镇中心小学</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A8ECD">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体育</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350ED">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6810" w:type="dxa"/>
            <w:vMerge w:val="continue"/>
            <w:tcBorders>
              <w:left w:val="single" w:color="auto" w:sz="4" w:space="0"/>
              <w:bottom w:val="single" w:color="auto" w:sz="4" w:space="0"/>
              <w:right w:val="single" w:color="000000" w:sz="4" w:space="0"/>
            </w:tcBorders>
            <w:noWrap/>
            <w:vAlign w:val="center"/>
          </w:tcPr>
          <w:p w14:paraId="2753E87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4436" w:type="dxa"/>
            <w:vMerge w:val="continue"/>
            <w:tcBorders>
              <w:left w:val="single" w:color="000000" w:sz="4" w:space="0"/>
              <w:bottom w:val="single" w:color="auto" w:sz="4" w:space="0"/>
              <w:right w:val="single" w:color="000000" w:sz="4" w:space="0"/>
            </w:tcBorders>
            <w:noWrap/>
            <w:vAlign w:val="center"/>
          </w:tcPr>
          <w:p w14:paraId="172BEB9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bl>
    <w:p w14:paraId="74CA427A">
      <w:pPr>
        <w:pStyle w:val="5"/>
        <w:widowControl w:val="0"/>
        <w:spacing w:before="0" w:beforeAutospacing="0" w:after="0" w:afterAutospacing="0" w:line="560" w:lineRule="exact"/>
        <w:jc w:val="both"/>
        <w:rPr>
          <w:rFonts w:hint="eastAsia" w:ascii="Times New Roman" w:hAnsi="Times New Roman" w:eastAsia="仿宋_GB2312" w:cstheme="minorBidi"/>
          <w:color w:val="000000" w:themeColor="text1"/>
          <w:kern w:val="2"/>
          <w:sz w:val="32"/>
          <w:szCs w:val="32"/>
          <w:highlight w:val="none"/>
          <w14:textFill>
            <w14:solidFill>
              <w14:schemeClr w14:val="tx1"/>
            </w14:solidFill>
          </w14:textFill>
        </w:rPr>
        <w:sectPr>
          <w:footerReference r:id="rId3" w:type="default"/>
          <w:pgSz w:w="16838" w:h="11906" w:orient="landscape"/>
          <w:pgMar w:top="291" w:right="1701" w:bottom="-655" w:left="1588" w:header="851" w:footer="1020" w:gutter="0"/>
          <w:pgBorders>
            <w:top w:val="none" w:sz="0" w:space="0"/>
            <w:left w:val="none" w:sz="0" w:space="0"/>
            <w:bottom w:val="none" w:sz="0" w:space="0"/>
            <w:right w:val="none" w:sz="0" w:space="0"/>
          </w:pgBorders>
          <w:cols w:space="425" w:num="1"/>
          <w:docGrid w:type="lines" w:linePitch="312" w:charSpace="0"/>
        </w:sectPr>
      </w:pPr>
    </w:p>
    <w:p w14:paraId="728199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5F2D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A2130"/>
    <w:rsid w:val="07FA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Times New Roman" w:hAnsi="Times New Roman" w:eastAsia="宋体" w:cs="Times New Roman"/>
      <w:kern w:val="2"/>
      <w:szCs w:val="22"/>
    </w:rPr>
  </w:style>
  <w:style w:type="paragraph" w:styleId="3">
    <w:name w:val="Body Text Indent"/>
    <w:basedOn w:val="1"/>
    <w:next w:val="2"/>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2025-03-14T07:34:00Z</dcterms:created>
  <dc:creator>水无鱼</dc:creator>
  <cp:lastModifiedBy>水无鱼</cp:lastModifiedBy>
  <dcterms:modified xsi:type="dcterms:W3CDTF">2025-03-14T07:34:30Z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52A0B895FD954DF8A2D8003195B7BE12_11</vt:lpwstr>
  </property>
  <property fmtid="{D5CDD505-2E9C-101B-9397-08002B2CF9AE}" pid="4" name="KSOTemplateDocerSaveRecord">
    <vt:lpwstr>eyJoZGlkIjoiOTNlMGVkZWI0OTliYTNjODIxNjJmZjA2Mjk5YTk4MGYiLCJ1c2VySWQiOiIyMzEwMTIzODgifQ==</vt:lpwstr>
  </property>
</Properties>
</file>