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91EC">
      <w:pPr>
        <w:autoSpaceDE w:val="0"/>
        <w:autoSpaceDN w:val="0"/>
        <w:adjustRightInd w:val="0"/>
        <w:jc w:val="left"/>
        <w:rPr>
          <w:rStyle w:val="4"/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shd w:val="clear" w:color="auto" w:fill="FFFFFF"/>
          <w:lang w:bidi="ar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p w14:paraId="5967079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05C930B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领军人才认定标准</w:t>
      </w:r>
      <w:bookmarkEnd w:id="0"/>
    </w:p>
    <w:p w14:paraId="4A45DC28">
      <w:pPr>
        <w:widowControl/>
        <w:shd w:val="clear" w:color="auto" w:fill="FFFFFF"/>
        <w:snapToGrid w:val="0"/>
        <w:spacing w:line="348" w:lineRule="auto"/>
        <w:ind w:firstLine="645"/>
        <w:jc w:val="center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266DBEBA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领军人才应符合下列标准之一:</w:t>
      </w:r>
    </w:p>
    <w:p w14:paraId="091AB045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1.入选以下计划或获得下列资助、荣誉称号之一者:国家“千人计划”人选;国家“万人计划”领军人才;教育部“长江学者奖励计划”特聘教授;国家杰出青年科学基金获得者;全国杰出专业技术人才;百千万人才工程国家级人选;科技部“创新人才推进计划”人选;国家外国专家局“首席外国专家项目”人选;中央直接联系掌握的高级专家;中宣部文化名家暨“四个一批”人才。</w:t>
      </w:r>
    </w:p>
    <w:p w14:paraId="7A673A06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2.近5年获得下列奖项之一者:国家科技进步奖特等奖前5名完成人;国家自然科学奖一等奖前3名完成人;国家技术发明奖一等奖前3名完成人;国家科技进步奖一等奖前3名完成人;“全国创新争先奖”奖章获得者;中国专利金奖前3位专利发明人或设计人;长江学者成就奖。</w:t>
      </w:r>
    </w:p>
    <w:p w14:paraId="4E8F962A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.近5年担任过下列职务之一者:国家重点实验室、工程实验室、工程技术研究中心主任、首席专家;全国专业标准化技术委员会主任委员;国家科技重大专项专家组组长、副组长;国家重点研发计划项目主要负责人(国家科技支撑计划项目负责人,“973计划”项目首席科学家,“863计划”领域主题专家组组长、副组长、召集人);国家自然科学基金重大项目牵头负责人;国家社会科学基金重大项目首席专家。</w:t>
      </w:r>
    </w:p>
    <w:p w14:paraId="474A64A3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4.具有下述各岗位经历之一者:世界500强企业总部董事会成员、首席技术官或技术研发负责人;国际著名金融机构、国际著名会计师事务所中层正职管理人员或技术岗位负责人;国际著名学术组织成员。</w:t>
      </w:r>
    </w:p>
    <w:p w14:paraId="24DCFC1A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5.省科学技术杰出贡献奖获得者;省海外高层次人才引进计划(“中原百人计划”)人选;省高层次人才特殊支持计划(“中原千人计划”)人选。</w:t>
      </w:r>
    </w:p>
    <w:p w14:paraId="53EBBF93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6.相当于上述层次的其他领军人才。</w:t>
      </w:r>
    </w:p>
    <w:p w14:paraId="6842DBE7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55A152A6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4573425B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0561E753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4772AE9F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350379A4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44B8A426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73BBBDD7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24BCC1B3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36959A7F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6CE90AF8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53EC30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7454"/>
    <w:rsid w:val="5A6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Mr_雷大大</dc:creator>
  <cp:lastModifiedBy>Mr_雷大大</cp:lastModifiedBy>
  <dcterms:modified xsi:type="dcterms:W3CDTF">2025-03-13T08:44:19Z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164684F5ABE843E79EAF3A0F2F8F2DF2_11</vt:lpwstr>
  </property>
  <property fmtid="{D5CDD505-2E9C-101B-9397-08002B2CF9AE}" pid="4" name="KSOTemplateDocerSaveRecord">
    <vt:lpwstr>eyJoZGlkIjoiOGRiNzNlNGUwYWZhZmZkMzg3NzI3NTYyZWY3MmZlOTQiLCJ1c2VySWQiOiIyMDAzOTY1MDYifQ==</vt:lpwstr>
  </property>
</Properties>
</file>