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41E4E">
      <w:pPr>
        <w:spacing w:line="500" w:lineRule="exact"/>
        <w:rPr>
          <w:rFonts w:ascii="仿宋_GB2312" w:hAnsi="仿宋_GB2312" w:eastAsia="仿宋_GB2312" w:cs="仿宋_GB2312"/>
          <w:color w:val="auto"/>
          <w:sz w:val="28"/>
          <w:szCs w:val="28"/>
          <w:highlight w:val="none"/>
        </w:rPr>
      </w:pPr>
      <w:r>
        <w:rPr>
          <w:rFonts w:hint="eastAsia" w:ascii="黑体" w:hAnsi="黑体" w:eastAsia="黑体" w:cs="黑体"/>
          <w:color w:val="auto"/>
          <w:spacing w:val="-6"/>
          <w:sz w:val="28"/>
          <w:szCs w:val="28"/>
          <w:highlight w:val="none"/>
        </w:rPr>
        <w:t>附件2</w:t>
      </w:r>
    </w:p>
    <w:p w14:paraId="6FBC2A83">
      <w:pPr>
        <w:spacing w:line="50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报考须知</w:t>
      </w:r>
    </w:p>
    <w:p w14:paraId="2E985211">
      <w:pPr>
        <w:spacing w:line="500" w:lineRule="exact"/>
        <w:ind w:firstLine="560" w:firstLineChars="200"/>
        <w:rPr>
          <w:rFonts w:ascii="黑体" w:hAnsi="黑体" w:eastAsia="黑体" w:cs="黑体"/>
          <w:color w:val="auto"/>
          <w:sz w:val="28"/>
          <w:szCs w:val="28"/>
          <w:highlight w:val="none"/>
        </w:rPr>
      </w:pPr>
    </w:p>
    <w:p w14:paraId="770E2FBE">
      <w:pPr>
        <w:spacing w:line="500" w:lineRule="exact"/>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一、网上填写报名信息时应注意什么？</w:t>
      </w:r>
    </w:p>
    <w:p w14:paraId="2B1917CA">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对伪造、变造有关证件、材料、信息，骗取考试资格的，按照有关规定处理。</w:t>
      </w:r>
    </w:p>
    <w:p w14:paraId="7B245748">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网上报名系统的表项中未能涵盖应聘岗位要求资格条件的，务必在“</w:t>
      </w:r>
      <w:r>
        <w:rPr>
          <w:rFonts w:hint="eastAsia" w:ascii="仿宋_GB2312" w:hAnsi="仿宋_GB2312" w:eastAsia="仿宋_GB2312" w:cs="仿宋_GB2312"/>
          <w:color w:val="auto"/>
          <w:sz w:val="28"/>
          <w:szCs w:val="28"/>
          <w:highlight w:val="none"/>
          <w:lang w:val="en-US" w:eastAsia="zh-CN"/>
        </w:rPr>
        <w:t>个人简历</w:t>
      </w:r>
      <w:r>
        <w:rPr>
          <w:rFonts w:ascii="仿宋_GB2312" w:hAnsi="仿宋_GB2312" w:eastAsia="仿宋_GB2312" w:cs="仿宋_GB2312"/>
          <w:color w:val="auto"/>
          <w:sz w:val="28"/>
          <w:szCs w:val="28"/>
          <w:highlight w:val="none"/>
        </w:rPr>
        <w:t>栏”中如实填写。其中，岗位其他条件要求相关证书的，应当注明取得证书的级别、编号和取得时间；暂未取得的，应作出</w:t>
      </w:r>
      <w:r>
        <w:rPr>
          <w:rFonts w:hint="eastAsia" w:ascii="仿宋_GB2312" w:hAnsi="仿宋_GB2312" w:eastAsia="仿宋_GB2312" w:cs="仿宋_GB2312"/>
          <w:color w:val="auto"/>
          <w:sz w:val="28"/>
          <w:szCs w:val="28"/>
          <w:highlight w:val="none"/>
        </w:rPr>
        <w:t>在面试资格审查</w:t>
      </w:r>
      <w:r>
        <w:rPr>
          <w:rFonts w:ascii="仿宋_GB2312" w:hAnsi="仿宋_GB2312" w:eastAsia="仿宋_GB2312" w:cs="仿宋_GB2312"/>
          <w:color w:val="auto"/>
          <w:sz w:val="28"/>
          <w:szCs w:val="28"/>
          <w:highlight w:val="none"/>
        </w:rPr>
        <w:t>前取得证书的承诺，未如期取得，本人承担相应后果。</w:t>
      </w:r>
    </w:p>
    <w:p w14:paraId="583DA623">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家庭成员及其主要社会关系，须填写姓名、工作单位及职务。学习和工作（待业）经历须从高中阶段起填写至报名时止，不得间断。</w:t>
      </w:r>
    </w:p>
    <w:p w14:paraId="7BC7A5F0">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参考往年情况，一般报名初始阶段人数较少，后期尤其是最后两天报名比较集中。建议应聘人员合理安排报名时间，根据本人的专业、意愿和职业规划等尽早报名，尽量在网速较快的环境报名，尽量避免后期集中报名，以免错失报名机会。</w:t>
      </w:r>
    </w:p>
    <w:p w14:paraId="15AE481B">
      <w:pPr>
        <w:spacing w:line="500" w:lineRule="exact"/>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w:t>
      </w:r>
      <w:r>
        <w:rPr>
          <w:rFonts w:hint="eastAsia" w:ascii="黑体" w:hAnsi="黑体" w:eastAsia="黑体" w:cs="黑体"/>
          <w:color w:val="auto"/>
          <w:sz w:val="28"/>
          <w:szCs w:val="28"/>
          <w:highlight w:val="none"/>
        </w:rPr>
        <w:t>、专业如何认定？</w:t>
      </w:r>
    </w:p>
    <w:p w14:paraId="5D3C7067">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DFEB4B8">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招聘岗位在大学专科、大学本科、研究生3个教育层次分别明确了学科专业（类）名称</w:t>
      </w:r>
      <w:r>
        <w:rPr>
          <w:rFonts w:hint="eastAsia" w:ascii="仿宋_GB2312" w:hAnsi="仿宋_GB2312" w:eastAsia="仿宋_GB2312" w:cs="仿宋_GB2312"/>
          <w:color w:val="auto"/>
          <w:sz w:val="28"/>
          <w:szCs w:val="28"/>
          <w:highlight w:val="none"/>
          <w:lang w:val="en-US" w:eastAsia="zh-CN"/>
        </w:rPr>
        <w:t>或</w:t>
      </w:r>
      <w:r>
        <w:rPr>
          <w:rFonts w:ascii="仿宋_GB2312" w:hAnsi="仿宋_GB2312" w:eastAsia="仿宋_GB2312" w:cs="仿宋_GB2312"/>
          <w:color w:val="auto"/>
          <w:sz w:val="28"/>
          <w:szCs w:val="28"/>
          <w:highlight w:val="none"/>
        </w:rPr>
        <w:t>代码。应聘人员符合其中一个教育层次的专业要求即可应聘该岗位，招聘岗位另有要求的，须符合其要求。岗位专业要求为“不限”的，即应聘人员在该教育层次的任何专业均符合要求；专业要求为学科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color w:val="auto"/>
          <w:sz w:val="28"/>
          <w:szCs w:val="28"/>
          <w:highlight w:val="none"/>
        </w:rPr>
        <w:t>门</w:t>
      </w:r>
      <w:r>
        <w:rPr>
          <w:rFonts w:ascii="仿宋_GB2312" w:hAnsi="仿宋_GB2312" w:eastAsia="仿宋_GB2312" w:cs="仿宋_GB2312"/>
          <w:color w:val="auto"/>
          <w:sz w:val="28"/>
          <w:szCs w:val="28"/>
          <w:highlight w:val="none"/>
        </w:rPr>
        <w:t>类、</w:t>
      </w:r>
      <w:r>
        <w:rPr>
          <w:rFonts w:hint="eastAsia" w:ascii="仿宋_GB2312" w:hAnsi="仿宋_GB2312" w:eastAsia="仿宋_GB2312" w:cs="仿宋_GB2312"/>
          <w:color w:val="auto"/>
          <w:sz w:val="28"/>
          <w:szCs w:val="28"/>
          <w:highlight w:val="none"/>
        </w:rPr>
        <w:t>专业</w:t>
      </w:r>
      <w:r>
        <w:rPr>
          <w:rFonts w:ascii="仿宋_GB2312" w:hAnsi="仿宋_GB2312" w:eastAsia="仿宋_GB2312" w:cs="仿宋_GB2312"/>
          <w:color w:val="auto"/>
          <w:sz w:val="28"/>
          <w:szCs w:val="28"/>
          <w:highlight w:val="none"/>
        </w:rPr>
        <w:t>类</w:t>
      </w:r>
      <w:r>
        <w:rPr>
          <w:rFonts w:hint="eastAsia" w:ascii="仿宋_GB2312" w:hAnsi="仿宋_GB2312" w:eastAsia="仿宋_GB2312" w:cs="仿宋_GB2312"/>
          <w:color w:val="auto"/>
          <w:sz w:val="28"/>
          <w:szCs w:val="28"/>
          <w:highlight w:val="none"/>
        </w:rPr>
        <w:t>或一级学科</w:t>
      </w:r>
      <w:r>
        <w:rPr>
          <w:rFonts w:ascii="仿宋_GB2312" w:hAnsi="仿宋_GB2312" w:eastAsia="仿宋_GB2312" w:cs="仿宋_GB2312"/>
          <w:color w:val="auto"/>
          <w:sz w:val="28"/>
          <w:szCs w:val="28"/>
          <w:highlight w:val="none"/>
        </w:rPr>
        <w:t>的，即该</w:t>
      </w:r>
      <w:r>
        <w:rPr>
          <w:rFonts w:hint="eastAsia" w:ascii="仿宋_GB2312" w:hAnsi="仿宋_GB2312" w:eastAsia="仿宋_GB2312" w:cs="仿宋_GB2312"/>
          <w:color w:val="auto"/>
          <w:sz w:val="28"/>
          <w:szCs w:val="28"/>
          <w:highlight w:val="none"/>
        </w:rPr>
        <w:t>门</w:t>
      </w:r>
      <w:r>
        <w:rPr>
          <w:rFonts w:ascii="仿宋_GB2312" w:hAnsi="仿宋_GB2312" w:eastAsia="仿宋_GB2312" w:cs="仿宋_GB2312"/>
          <w:color w:val="auto"/>
          <w:sz w:val="28"/>
          <w:szCs w:val="28"/>
          <w:highlight w:val="none"/>
        </w:rPr>
        <w:t>类、</w:t>
      </w:r>
      <w:r>
        <w:rPr>
          <w:rFonts w:hint="eastAsia" w:ascii="仿宋_GB2312" w:hAnsi="仿宋_GB2312" w:eastAsia="仿宋_GB2312" w:cs="仿宋_GB2312"/>
          <w:color w:val="auto"/>
          <w:sz w:val="28"/>
          <w:szCs w:val="28"/>
          <w:highlight w:val="none"/>
        </w:rPr>
        <w:t>专业</w:t>
      </w:r>
      <w:r>
        <w:rPr>
          <w:rFonts w:ascii="仿宋_GB2312" w:hAnsi="仿宋_GB2312" w:eastAsia="仿宋_GB2312" w:cs="仿宋_GB2312"/>
          <w:color w:val="auto"/>
          <w:sz w:val="28"/>
          <w:szCs w:val="28"/>
          <w:highlight w:val="none"/>
        </w:rPr>
        <w:t>类</w:t>
      </w:r>
      <w:r>
        <w:rPr>
          <w:rFonts w:hint="eastAsia" w:ascii="仿宋_GB2312" w:hAnsi="仿宋_GB2312" w:eastAsia="仿宋_GB2312" w:cs="仿宋_GB2312"/>
          <w:color w:val="auto"/>
          <w:sz w:val="28"/>
          <w:szCs w:val="28"/>
          <w:highlight w:val="none"/>
        </w:rPr>
        <w:t>或一级学科</w:t>
      </w:r>
      <w:r>
        <w:rPr>
          <w:rFonts w:ascii="仿宋_GB2312" w:hAnsi="仿宋_GB2312" w:eastAsia="仿宋_GB2312" w:cs="仿宋_GB2312"/>
          <w:color w:val="auto"/>
          <w:sz w:val="28"/>
          <w:szCs w:val="28"/>
          <w:highlight w:val="none"/>
        </w:rPr>
        <w:t>所包含的专业均符合要求。</w:t>
      </w:r>
    </w:p>
    <w:p w14:paraId="612F941A">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专业要求中的大学</w:t>
      </w:r>
      <w:r>
        <w:rPr>
          <w:rFonts w:hint="eastAsia" w:ascii="仿宋_GB2312" w:hAnsi="仿宋_GB2312" w:eastAsia="仿宋_GB2312" w:cs="仿宋_GB2312"/>
          <w:color w:val="auto"/>
          <w:sz w:val="28"/>
          <w:szCs w:val="28"/>
          <w:highlight w:val="none"/>
        </w:rPr>
        <w:t>专科、</w:t>
      </w:r>
      <w:r>
        <w:rPr>
          <w:rFonts w:ascii="仿宋_GB2312" w:hAnsi="仿宋_GB2312" w:eastAsia="仿宋_GB2312" w:cs="仿宋_GB2312"/>
          <w:color w:val="auto"/>
          <w:sz w:val="28"/>
          <w:szCs w:val="28"/>
          <w:highlight w:val="none"/>
        </w:rPr>
        <w:t>本科、研究生专业参考目录为教育部印发的</w:t>
      </w:r>
      <w:r>
        <w:rPr>
          <w:rFonts w:hint="eastAsia" w:ascii="仿宋_GB2312" w:hAnsi="仿宋_GB2312" w:eastAsia="仿宋_GB2312" w:cs="仿宋_GB2312"/>
          <w:color w:val="auto"/>
          <w:sz w:val="28"/>
          <w:szCs w:val="28"/>
          <w:highlight w:val="none"/>
        </w:rPr>
        <w:t>《职业教育专业目录（2021年）》</w:t>
      </w:r>
      <w:r>
        <w:rPr>
          <w:rFonts w:ascii="仿宋_GB2312" w:hAnsi="仿宋_GB2312" w:eastAsia="仿宋_GB2312" w:cs="仿宋_GB2312"/>
          <w:color w:val="auto"/>
          <w:sz w:val="28"/>
          <w:szCs w:val="28"/>
          <w:highlight w:val="none"/>
        </w:rPr>
        <w:t>《国家普通高等学校本科专业目录（2024年）》《研究生教育学科专业目录（2022年）》</w:t>
      </w:r>
      <w:r>
        <w:rPr>
          <w:rFonts w:hint="eastAsia" w:ascii="仿宋_GB2312" w:hAnsi="仿宋_GB2312" w:eastAsia="仿宋_GB2312" w:cs="仿宋_GB2312"/>
          <w:color w:val="auto"/>
          <w:sz w:val="28"/>
          <w:szCs w:val="28"/>
          <w:highlight w:val="none"/>
          <w:lang w:val="en-US" w:eastAsia="zh-CN"/>
        </w:rPr>
        <w:t>等</w:t>
      </w:r>
      <w:r>
        <w:rPr>
          <w:rFonts w:ascii="仿宋_GB2312" w:hAnsi="仿宋_GB2312" w:eastAsia="仿宋_GB2312" w:cs="仿宋_GB2312"/>
          <w:color w:val="auto"/>
          <w:sz w:val="28"/>
          <w:szCs w:val="28"/>
          <w:highlight w:val="none"/>
        </w:rPr>
        <w:t>。留学归国人员应持国家教育部留学服务中心认证学历、学位参加资格审查。</w:t>
      </w:r>
    </w:p>
    <w:p w14:paraId="728B8701">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对于专业目录中没有的国（境）外专业，应聘人员在报名时需在</w:t>
      </w:r>
      <w:r>
        <w:rPr>
          <w:rFonts w:hint="eastAsia" w:ascii="仿宋_GB2312" w:hAnsi="仿宋_GB2312" w:eastAsia="仿宋_GB2312" w:cs="仿宋_GB2312"/>
          <w:color w:val="auto"/>
          <w:sz w:val="28"/>
          <w:szCs w:val="28"/>
          <w:highlight w:val="none"/>
          <w:lang w:eastAsia="zh-CN"/>
        </w:rPr>
        <w:t>“个人简历栏”</w:t>
      </w:r>
      <w:r>
        <w:rPr>
          <w:rFonts w:ascii="仿宋_GB2312" w:hAnsi="仿宋_GB2312" w:eastAsia="仿宋_GB2312" w:cs="仿宋_GB2312"/>
          <w:color w:val="auto"/>
          <w:sz w:val="28"/>
          <w:szCs w:val="28"/>
          <w:highlight w:val="none"/>
        </w:rPr>
        <w:t>中注明主要课程、研究方向和学习内容等情况，必要时可主动联系招聘单位介绍有关情况，</w:t>
      </w:r>
      <w:r>
        <w:rPr>
          <w:rFonts w:hint="eastAsia" w:ascii="仿宋_GB2312" w:hAnsi="仿宋_GB2312" w:eastAsia="仿宋_GB2312" w:cs="仿宋_GB2312"/>
          <w:color w:val="auto"/>
          <w:sz w:val="28"/>
          <w:szCs w:val="28"/>
          <w:highlight w:val="none"/>
        </w:rPr>
        <w:t>提供</w:t>
      </w:r>
      <w:r>
        <w:rPr>
          <w:rFonts w:ascii="仿宋_GB2312" w:hAnsi="仿宋_GB2312" w:eastAsia="仿宋_GB2312" w:cs="仿宋_GB2312"/>
          <w:color w:val="auto"/>
          <w:sz w:val="28"/>
          <w:szCs w:val="28"/>
          <w:highlight w:val="none"/>
        </w:rPr>
        <w:t>所学</w:t>
      </w:r>
      <w:r>
        <w:rPr>
          <w:rFonts w:hint="eastAsia" w:ascii="仿宋_GB2312" w:hAnsi="仿宋_GB2312" w:eastAsia="仿宋_GB2312" w:cs="仿宋_GB2312"/>
          <w:color w:val="auto"/>
          <w:sz w:val="28"/>
          <w:szCs w:val="28"/>
          <w:highlight w:val="none"/>
        </w:rPr>
        <w:t>主要</w:t>
      </w:r>
      <w:r>
        <w:rPr>
          <w:rFonts w:ascii="仿宋_GB2312" w:hAnsi="仿宋_GB2312" w:eastAsia="仿宋_GB2312" w:cs="仿宋_GB2312"/>
          <w:color w:val="auto"/>
          <w:sz w:val="28"/>
          <w:szCs w:val="28"/>
          <w:highlight w:val="none"/>
        </w:rPr>
        <w:t>课程、研究方向</w:t>
      </w:r>
      <w:r>
        <w:rPr>
          <w:rFonts w:hint="eastAsia" w:ascii="仿宋_GB2312" w:hAnsi="仿宋_GB2312" w:eastAsia="仿宋_GB2312" w:cs="仿宋_GB2312"/>
          <w:color w:val="auto"/>
          <w:sz w:val="28"/>
          <w:szCs w:val="28"/>
          <w:highlight w:val="none"/>
        </w:rPr>
        <w:t>及</w:t>
      </w:r>
      <w:r>
        <w:rPr>
          <w:rFonts w:ascii="仿宋_GB2312" w:hAnsi="仿宋_GB2312" w:eastAsia="仿宋_GB2312" w:cs="仿宋_GB2312"/>
          <w:color w:val="auto"/>
          <w:sz w:val="28"/>
          <w:szCs w:val="28"/>
          <w:highlight w:val="none"/>
        </w:rPr>
        <w:t>相关高校或省</w:t>
      </w:r>
      <w:r>
        <w:rPr>
          <w:rFonts w:hint="eastAsia" w:ascii="仿宋_GB2312" w:hAnsi="仿宋_GB2312" w:eastAsia="仿宋_GB2312" w:cs="仿宋_GB2312"/>
          <w:color w:val="auto"/>
          <w:sz w:val="28"/>
          <w:szCs w:val="28"/>
          <w:highlight w:val="none"/>
        </w:rPr>
        <w:t>及</w:t>
      </w:r>
      <w:r>
        <w:rPr>
          <w:rFonts w:ascii="仿宋_GB2312" w:hAnsi="仿宋_GB2312" w:eastAsia="仿宋_GB2312" w:cs="仿宋_GB2312"/>
          <w:color w:val="auto"/>
          <w:sz w:val="28"/>
          <w:szCs w:val="28"/>
          <w:highlight w:val="none"/>
        </w:rPr>
        <w:t>以上相关科研机构等第三方</w:t>
      </w:r>
      <w:r>
        <w:rPr>
          <w:rFonts w:hint="eastAsia" w:ascii="仿宋_GB2312" w:hAnsi="仿宋_GB2312" w:eastAsia="仿宋_GB2312" w:cs="仿宋_GB2312"/>
          <w:color w:val="auto"/>
          <w:sz w:val="28"/>
          <w:szCs w:val="28"/>
          <w:highlight w:val="none"/>
        </w:rPr>
        <w:t>的专业认定证明材料,</w:t>
      </w:r>
      <w:r>
        <w:rPr>
          <w:rFonts w:ascii="仿宋_GB2312" w:hAnsi="仿宋_GB2312" w:eastAsia="仿宋_GB2312" w:cs="仿宋_GB2312"/>
          <w:color w:val="auto"/>
          <w:sz w:val="28"/>
          <w:szCs w:val="28"/>
          <w:highlight w:val="none"/>
        </w:rPr>
        <w:t>由招聘单位或者其主管部门（单位）对其留学所学专业进行认定，认定为相似专业的视为专业条件合格。</w:t>
      </w:r>
    </w:p>
    <w:p w14:paraId="602DFC86">
      <w:pPr>
        <w:widowControl/>
        <w:spacing w:line="50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在符合专业等其他条件前提下，</w:t>
      </w:r>
      <w:r>
        <w:rPr>
          <w:rFonts w:ascii="仿宋_GB2312" w:hAnsi="仿宋_GB2312" w:eastAsia="仿宋_GB2312" w:cs="仿宋_GB2312"/>
          <w:color w:val="auto"/>
          <w:sz w:val="28"/>
          <w:szCs w:val="28"/>
          <w:highlight w:val="none"/>
        </w:rPr>
        <w:t>技工院校高级工班</w:t>
      </w:r>
      <w:r>
        <w:rPr>
          <w:rFonts w:hint="eastAsia" w:ascii="仿宋_GB2312" w:hAnsi="仿宋_GB2312" w:eastAsia="仿宋_GB2312" w:cs="仿宋_GB2312"/>
          <w:color w:val="auto"/>
          <w:sz w:val="28"/>
          <w:szCs w:val="28"/>
          <w:highlight w:val="none"/>
        </w:rPr>
        <w:t>毕业生可报名应聘学历要求为专科的岗位，</w:t>
      </w:r>
      <w:r>
        <w:rPr>
          <w:rFonts w:ascii="仿宋_GB2312" w:hAnsi="仿宋_GB2312" w:eastAsia="仿宋_GB2312" w:cs="仿宋_GB2312"/>
          <w:color w:val="auto"/>
          <w:sz w:val="28"/>
          <w:szCs w:val="28"/>
          <w:highlight w:val="none"/>
        </w:rPr>
        <w:t>预备技师（技师）班毕业</w:t>
      </w:r>
      <w:r>
        <w:rPr>
          <w:rFonts w:hint="eastAsia" w:ascii="仿宋_GB2312" w:hAnsi="仿宋_GB2312" w:eastAsia="仿宋_GB2312" w:cs="仿宋_GB2312"/>
          <w:color w:val="auto"/>
          <w:sz w:val="28"/>
          <w:szCs w:val="28"/>
          <w:highlight w:val="none"/>
        </w:rPr>
        <w:t>生可报名应聘</w:t>
      </w:r>
      <w:r>
        <w:rPr>
          <w:rFonts w:ascii="仿宋_GB2312" w:hAnsi="仿宋_GB2312" w:eastAsia="仿宋_GB2312" w:cs="仿宋_GB2312"/>
          <w:color w:val="auto"/>
          <w:sz w:val="28"/>
          <w:szCs w:val="28"/>
          <w:highlight w:val="none"/>
        </w:rPr>
        <w:t>学历</w:t>
      </w:r>
      <w:r>
        <w:rPr>
          <w:rFonts w:hint="eastAsia" w:ascii="仿宋_GB2312" w:hAnsi="仿宋_GB2312" w:eastAsia="仿宋_GB2312" w:cs="仿宋_GB2312"/>
          <w:color w:val="auto"/>
          <w:sz w:val="28"/>
          <w:szCs w:val="28"/>
          <w:highlight w:val="none"/>
        </w:rPr>
        <w:t>要求为大学本科的岗位。专业设置以</w:t>
      </w:r>
      <w:r>
        <w:rPr>
          <w:rFonts w:ascii="仿宋_GB2312" w:hAnsi="仿宋_GB2312" w:eastAsia="仿宋_GB2312" w:cs="仿宋_GB2312"/>
          <w:color w:val="auto"/>
          <w:sz w:val="28"/>
          <w:szCs w:val="28"/>
          <w:highlight w:val="none"/>
        </w:rPr>
        <w:t>人力资源社会保障部制定的全国技工院校专业目录</w:t>
      </w:r>
      <w:r>
        <w:rPr>
          <w:rFonts w:hint="eastAsia" w:ascii="仿宋_GB2312" w:hAnsi="仿宋_GB2312" w:eastAsia="仿宋_GB2312" w:cs="仿宋_GB2312"/>
          <w:color w:val="auto"/>
          <w:sz w:val="28"/>
          <w:szCs w:val="28"/>
          <w:highlight w:val="none"/>
        </w:rPr>
        <w:t>为准。</w:t>
      </w:r>
    </w:p>
    <w:p w14:paraId="2AAB76D4">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国内非普通高等学历教育的其他</w:t>
      </w:r>
      <w:r>
        <w:rPr>
          <w:rFonts w:hint="eastAsia" w:ascii="仿宋_GB2312" w:hAnsi="仿宋_GB2312" w:eastAsia="仿宋_GB2312" w:cs="仿宋_GB2312"/>
          <w:color w:val="auto"/>
          <w:sz w:val="28"/>
          <w:szCs w:val="28"/>
          <w:highlight w:val="none"/>
        </w:rPr>
        <w:t>国民</w:t>
      </w:r>
      <w:r>
        <w:rPr>
          <w:rFonts w:ascii="仿宋_GB2312" w:hAnsi="仿宋_GB2312" w:eastAsia="仿宋_GB2312" w:cs="仿宋_GB2312"/>
          <w:color w:val="auto"/>
          <w:sz w:val="28"/>
          <w:szCs w:val="28"/>
          <w:highlight w:val="none"/>
        </w:rPr>
        <w:t>教育形式（自学考试、成人教育、网络教育、夜大、电大等）毕业生取得毕业证（学位证）后，符合岗位要求资格条件的，均可应聘。</w:t>
      </w:r>
    </w:p>
    <w:p w14:paraId="1B93B292">
      <w:pPr>
        <w:spacing w:line="500" w:lineRule="exact"/>
        <w:ind w:firstLine="420" w:firstLineChars="200"/>
        <w:rPr>
          <w:rFonts w:ascii="仿宋_GB2312" w:hAnsi="仿宋_GB2312" w:eastAsia="仿宋_GB2312" w:cs="仿宋_GB2312"/>
          <w:color w:val="auto"/>
          <w:sz w:val="28"/>
          <w:szCs w:val="28"/>
          <w:highlight w:val="none"/>
        </w:rPr>
      </w:pPr>
      <w:r>
        <w:rPr>
          <w:rFonts w:hint="eastAsia"/>
          <w:color w:val="auto"/>
          <w:highlight w:val="none"/>
        </w:rPr>
        <w:t xml:space="preserve">  </w:t>
      </w:r>
      <w:r>
        <w:rPr>
          <w:rFonts w:ascii="仿宋_GB2312" w:hAnsi="仿宋_GB2312" w:eastAsia="仿宋_GB2312" w:cs="仿宋_GB2312"/>
          <w:color w:val="auto"/>
          <w:sz w:val="28"/>
          <w:szCs w:val="28"/>
          <w:highlight w:val="none"/>
        </w:rPr>
        <w:t>对</w:t>
      </w:r>
      <w:r>
        <w:rPr>
          <w:rFonts w:hint="eastAsia" w:ascii="仿宋_GB2312" w:hAnsi="仿宋_GB2312" w:eastAsia="仿宋_GB2312" w:cs="仿宋_GB2312"/>
          <w:color w:val="auto"/>
          <w:sz w:val="28"/>
          <w:szCs w:val="28"/>
          <w:highlight w:val="none"/>
        </w:rPr>
        <w:t>个别涉及</w:t>
      </w:r>
      <w:r>
        <w:rPr>
          <w:rFonts w:ascii="仿宋_GB2312" w:hAnsi="仿宋_GB2312" w:eastAsia="仿宋_GB2312" w:cs="仿宋_GB2312"/>
          <w:color w:val="auto"/>
          <w:sz w:val="28"/>
          <w:szCs w:val="28"/>
          <w:highlight w:val="none"/>
        </w:rPr>
        <w:t>专业</w:t>
      </w:r>
      <w:r>
        <w:rPr>
          <w:rFonts w:hint="eastAsia" w:ascii="仿宋_GB2312" w:hAnsi="仿宋_GB2312" w:eastAsia="仿宋_GB2312" w:cs="仿宋_GB2312"/>
          <w:color w:val="auto"/>
          <w:sz w:val="28"/>
          <w:szCs w:val="28"/>
          <w:highlight w:val="none"/>
        </w:rPr>
        <w:t>名称及代码等</w:t>
      </w:r>
      <w:r>
        <w:rPr>
          <w:rFonts w:ascii="仿宋_GB2312" w:hAnsi="仿宋_GB2312" w:eastAsia="仿宋_GB2312" w:cs="仿宋_GB2312"/>
          <w:color w:val="auto"/>
          <w:sz w:val="28"/>
          <w:szCs w:val="28"/>
          <w:highlight w:val="none"/>
        </w:rPr>
        <w:t>调整的</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以国家教育部门发文为</w:t>
      </w:r>
      <w:r>
        <w:rPr>
          <w:rFonts w:hint="eastAsia" w:ascii="仿宋_GB2312" w:hAnsi="仿宋_GB2312" w:eastAsia="仿宋_GB2312" w:cs="仿宋_GB2312"/>
          <w:color w:val="auto"/>
          <w:sz w:val="28"/>
          <w:szCs w:val="28"/>
          <w:highlight w:val="none"/>
        </w:rPr>
        <w:t>依据进行认定</w:t>
      </w:r>
      <w:r>
        <w:rPr>
          <w:rFonts w:ascii="仿宋_GB2312" w:hAnsi="仿宋_GB2312" w:eastAsia="仿宋_GB2312" w:cs="仿宋_GB2312"/>
          <w:color w:val="auto"/>
          <w:sz w:val="28"/>
          <w:szCs w:val="28"/>
          <w:highlight w:val="none"/>
        </w:rPr>
        <w:t>。出现新旧专业比对认定争议时,</w:t>
      </w:r>
      <w:bookmarkStart w:id="0" w:name="_GoBack"/>
      <w:bookmarkEnd w:id="0"/>
      <w:r>
        <w:rPr>
          <w:rFonts w:ascii="仿宋_GB2312" w:hAnsi="仿宋_GB2312" w:eastAsia="仿宋_GB2312" w:cs="仿宋_GB2312"/>
          <w:color w:val="auto"/>
          <w:sz w:val="28"/>
          <w:szCs w:val="28"/>
          <w:highlight w:val="none"/>
        </w:rPr>
        <w:t>原则上以</w:t>
      </w:r>
      <w:r>
        <w:rPr>
          <w:rFonts w:hint="eastAsia" w:ascii="仿宋_GB2312" w:hAnsi="仿宋_GB2312" w:eastAsia="仿宋_GB2312" w:cs="仿宋_GB2312"/>
          <w:color w:val="auto"/>
          <w:sz w:val="28"/>
          <w:szCs w:val="28"/>
          <w:highlight w:val="none"/>
        </w:rPr>
        <w:t>应聘人员</w:t>
      </w:r>
      <w:r>
        <w:rPr>
          <w:rFonts w:ascii="仿宋_GB2312" w:hAnsi="仿宋_GB2312" w:eastAsia="仿宋_GB2312" w:cs="仿宋_GB2312"/>
          <w:color w:val="auto"/>
          <w:sz w:val="28"/>
          <w:szCs w:val="28"/>
          <w:highlight w:val="none"/>
        </w:rPr>
        <w:t>就读高等学校依据教育部下发的关于新旧学科专业调整的有效文件或</w:t>
      </w:r>
      <w:r>
        <w:rPr>
          <w:rFonts w:hint="eastAsia" w:ascii="仿宋_GB2312" w:hAnsi="仿宋_GB2312" w:eastAsia="仿宋_GB2312" w:cs="仿宋_GB2312"/>
          <w:color w:val="auto"/>
          <w:sz w:val="28"/>
          <w:szCs w:val="28"/>
          <w:highlight w:val="none"/>
        </w:rPr>
        <w:t>应聘人员</w:t>
      </w:r>
      <w:r>
        <w:rPr>
          <w:rFonts w:ascii="仿宋_GB2312" w:hAnsi="仿宋_GB2312" w:eastAsia="仿宋_GB2312" w:cs="仿宋_GB2312"/>
          <w:color w:val="auto"/>
          <w:sz w:val="28"/>
          <w:szCs w:val="28"/>
          <w:highlight w:val="none"/>
        </w:rPr>
        <w:t>就读的高等学校依据省级以上教育部门有关文件</w:t>
      </w:r>
      <w:r>
        <w:rPr>
          <w:rFonts w:hint="eastAsia" w:ascii="仿宋_GB2312" w:hAnsi="仿宋_GB2312" w:eastAsia="仿宋_GB2312" w:cs="仿宋_GB2312"/>
          <w:color w:val="auto"/>
          <w:sz w:val="28"/>
          <w:szCs w:val="28"/>
          <w:highlight w:val="none"/>
        </w:rPr>
        <w:t>或</w:t>
      </w:r>
      <w:r>
        <w:rPr>
          <w:rFonts w:ascii="仿宋_GB2312" w:hAnsi="仿宋_GB2312" w:eastAsia="仿宋_GB2312" w:cs="仿宋_GB2312"/>
          <w:color w:val="auto"/>
          <w:sz w:val="28"/>
          <w:szCs w:val="28"/>
          <w:highlight w:val="none"/>
        </w:rPr>
        <w:t>有关规定出具的有效专业证明材料进行</w:t>
      </w:r>
      <w:r>
        <w:rPr>
          <w:rFonts w:hint="eastAsia" w:ascii="仿宋_GB2312" w:hAnsi="仿宋_GB2312" w:eastAsia="仿宋_GB2312" w:cs="仿宋_GB2312"/>
          <w:color w:val="auto"/>
          <w:sz w:val="28"/>
          <w:szCs w:val="28"/>
          <w:highlight w:val="none"/>
        </w:rPr>
        <w:t>综合认定</w:t>
      </w:r>
      <w:r>
        <w:rPr>
          <w:rFonts w:ascii="仿宋_GB2312" w:hAnsi="仿宋_GB2312" w:eastAsia="仿宋_GB2312" w:cs="仿宋_GB2312"/>
          <w:color w:val="auto"/>
          <w:sz w:val="28"/>
          <w:szCs w:val="28"/>
          <w:highlight w:val="none"/>
        </w:rPr>
        <w:t>。</w:t>
      </w:r>
    </w:p>
    <w:p w14:paraId="61366CB6">
      <w:pPr>
        <w:spacing w:line="500" w:lineRule="exact"/>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三</w:t>
      </w:r>
      <w:r>
        <w:rPr>
          <w:rFonts w:ascii="黑体" w:hAnsi="黑体" w:eastAsia="黑体" w:cs="黑体"/>
          <w:color w:val="auto"/>
          <w:sz w:val="28"/>
          <w:szCs w:val="28"/>
          <w:highlight w:val="none"/>
        </w:rPr>
        <w:t>、本次招聘中要求的有效身份证件指的是什么？</w:t>
      </w:r>
    </w:p>
    <w:p w14:paraId="76E5246E">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有效身份证件包括有效期限内的居民身份证、社会保障卡&lt;含照片&gt;</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港澳居民来往内地通行证、</w:t>
      </w:r>
      <w:r>
        <w:rPr>
          <w:rFonts w:hint="eastAsia" w:ascii="仿宋_GB2312" w:hAnsi="仿宋_GB2312" w:eastAsia="仿宋_GB2312" w:cs="仿宋_GB2312"/>
          <w:color w:val="auto"/>
          <w:sz w:val="28"/>
          <w:szCs w:val="28"/>
          <w:highlight w:val="none"/>
        </w:rPr>
        <w:t>中华人民共和国台湾居民居住证、</w:t>
      </w:r>
      <w:r>
        <w:rPr>
          <w:rFonts w:ascii="仿宋_GB2312" w:hAnsi="仿宋_GB2312" w:eastAsia="仿宋_GB2312" w:cs="仿宋_GB2312"/>
          <w:color w:val="auto"/>
          <w:sz w:val="28"/>
          <w:szCs w:val="28"/>
          <w:highlight w:val="none"/>
        </w:rPr>
        <w:t>台湾居民来往大陆通行证。不含过期身份证、一代身份证、身份证复印件等其他证件、证明</w:t>
      </w:r>
      <w:r>
        <w:rPr>
          <w:rFonts w:hint="eastAsia" w:ascii="仿宋_GB2312" w:hAnsi="仿宋_GB2312" w:eastAsia="仿宋_GB2312" w:cs="仿宋_GB2312"/>
          <w:color w:val="auto"/>
          <w:sz w:val="28"/>
          <w:szCs w:val="28"/>
          <w:highlight w:val="none"/>
        </w:rPr>
        <w:t>。</w:t>
      </w:r>
    </w:p>
    <w:p w14:paraId="760D4E43">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请考生妥善保管本人有效居民身份证件，过期或丢失的，请务必在考前及时到公安机关换领或补办。</w:t>
      </w:r>
    </w:p>
    <w:p w14:paraId="4A105600">
      <w:pPr>
        <w:spacing w:line="500" w:lineRule="exact"/>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四</w:t>
      </w:r>
      <w:r>
        <w:rPr>
          <w:rFonts w:ascii="黑体" w:hAnsi="黑体" w:eastAsia="黑体" w:cs="黑体"/>
          <w:color w:val="auto"/>
          <w:sz w:val="28"/>
          <w:szCs w:val="28"/>
          <w:highlight w:val="none"/>
        </w:rPr>
        <w:t>、本次招聘中政策性加分如何办理？</w:t>
      </w:r>
    </w:p>
    <w:p w14:paraId="5D5FEEE5">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根据《四川省事业单位公开招聘工作人员实施办法》（川人社规〔2024〕3号）中共四川省委组织部、四川省人力资源和社会保障厅《关于退役大学生士兵报考事业单位享受基层服务项目服务期满大学生同等待遇问题的通知》（川人社发〔2012〕406号）《关于退役大学生士兵报考事业单位享受有关加分政策答复意见的通知》（川人社函〔2018〕318号）中共四川省委组织部、四川省人力资源和社会保障厅等十部门《关于实施第四轮高校毕业生“三支一扶”计划的通知》（川人社发〔2021〕19号）《中共成都市委组织部成都市人力资源和社会保障局等七部门关于实施新一轮成都市高校毕业生“三支一扶”计划的通知》（成人社发〔2023〕6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105F8DE9">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符合加分政策规定的应聘人员，在笔试总成绩（与面试成绩按比例折合前）中加分，不同加分项目可累计计算，最高不超过6分。</w:t>
      </w:r>
    </w:p>
    <w:p w14:paraId="17C03C81">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符合加分政策规定的应聘人员需提供以下材料：</w:t>
      </w:r>
    </w:p>
    <w:p w14:paraId="4903513B">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1.“大学生志愿服务西部计划”“三支一扶”计划</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“特岗教师计划”</w:t>
      </w:r>
      <w:r>
        <w:rPr>
          <w:rFonts w:hint="eastAsia"/>
          <w:color w:val="auto"/>
          <w:highlight w:val="none"/>
        </w:rPr>
        <w:t xml:space="preserve"> </w:t>
      </w:r>
      <w:r>
        <w:rPr>
          <w:rFonts w:hint="eastAsia" w:ascii="仿宋_GB2312" w:hAnsi="仿宋_GB2312" w:eastAsia="仿宋_GB2312" w:cs="仿宋_GB2312"/>
          <w:color w:val="auto"/>
          <w:sz w:val="28"/>
          <w:szCs w:val="28"/>
          <w:highlight w:val="none"/>
        </w:rPr>
        <w:t>“应急岗位”“公卫特别岗”</w:t>
      </w:r>
      <w:r>
        <w:rPr>
          <w:rFonts w:ascii="仿宋_GB2312" w:hAnsi="仿宋_GB2312" w:eastAsia="仿宋_GB2312" w:cs="仿宋_GB2312"/>
          <w:color w:val="auto"/>
          <w:sz w:val="28"/>
          <w:szCs w:val="28"/>
          <w:highlight w:val="none"/>
        </w:rPr>
        <w:t>人员：服务所在地县以上团委（或人社局、教育局</w:t>
      </w:r>
      <w:r>
        <w:rPr>
          <w:rFonts w:hint="eastAsia" w:ascii="仿宋_GB2312" w:hAnsi="仿宋_GB2312" w:eastAsia="仿宋_GB2312" w:cs="仿宋_GB2312"/>
          <w:color w:val="auto"/>
          <w:sz w:val="28"/>
          <w:szCs w:val="28"/>
          <w:highlight w:val="none"/>
        </w:rPr>
        <w:t>、卫健委</w:t>
      </w:r>
      <w:r>
        <w:rPr>
          <w:rFonts w:ascii="仿宋_GB2312" w:hAnsi="仿宋_GB2312" w:eastAsia="仿宋_GB2312" w:cs="仿宋_GB2312"/>
          <w:color w:val="auto"/>
          <w:sz w:val="28"/>
          <w:szCs w:val="28"/>
          <w:highlight w:val="none"/>
        </w:rPr>
        <w:t>）出具的证明、考核材料、服务合同（协议）和服务证书等材料原件及复印件。</w:t>
      </w:r>
    </w:p>
    <w:p w14:paraId="0D7DF210">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2.申请加分的退役大学生士兵，须提供本人有效的《退出现役证》、《优秀士兵证》《优秀士官证》《优秀义务兵证》《优秀学员证》等有关奖励证书（证章）和专科及以上毕业证等材料原件及复印件。</w:t>
      </w:r>
    </w:p>
    <w:p w14:paraId="604BE9DE">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机关事业单位在编人员以及从机关事业单位辞职、辞退、辞聘、解聘等人员，不享受加分政策。</w:t>
      </w:r>
    </w:p>
    <w:p w14:paraId="58F11EE6">
      <w:pPr>
        <w:spacing w:line="500" w:lineRule="exact"/>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五</w:t>
      </w:r>
      <w:r>
        <w:rPr>
          <w:rFonts w:ascii="黑体" w:hAnsi="黑体" w:eastAsia="黑体" w:cs="黑体"/>
          <w:color w:val="auto"/>
          <w:sz w:val="28"/>
          <w:szCs w:val="28"/>
          <w:highlight w:val="none"/>
        </w:rPr>
        <w:t>、本次招聘中需提供哪些面试资格审查材料？</w:t>
      </w:r>
    </w:p>
    <w:p w14:paraId="7F800F7C">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rPr>
        <w:t>《应聘资格审查表》</w:t>
      </w:r>
      <w:r>
        <w:rPr>
          <w:rFonts w:ascii="仿宋_GB2312" w:hAnsi="仿宋_GB2312" w:eastAsia="仿宋_GB2312" w:cs="仿宋_GB2312"/>
          <w:color w:val="auto"/>
          <w:sz w:val="28"/>
          <w:szCs w:val="28"/>
          <w:highlight w:val="none"/>
        </w:rPr>
        <w:t>》2份（请在</w:t>
      </w:r>
      <w:r>
        <w:rPr>
          <w:rFonts w:hint="eastAsia" w:ascii="仿宋_GB2312" w:hAnsi="仿宋_GB2312" w:eastAsia="仿宋_GB2312" w:cs="仿宋_GB2312"/>
          <w:color w:val="auto"/>
          <w:sz w:val="28"/>
          <w:szCs w:val="28"/>
          <w:highlight w:val="none"/>
        </w:rPr>
        <w:t>成都人事考试网</w:t>
      </w:r>
      <w:r>
        <w:rPr>
          <w:rFonts w:ascii="仿宋_GB2312" w:hAnsi="仿宋_GB2312" w:eastAsia="仿宋_GB2312" w:cs="仿宋_GB2312"/>
          <w:color w:val="auto"/>
          <w:sz w:val="28"/>
          <w:szCs w:val="28"/>
          <w:highlight w:val="none"/>
        </w:rPr>
        <w:t>自行打印并按要求张贴近期2寸免冠证件照片）；</w:t>
      </w:r>
    </w:p>
    <w:p w14:paraId="060BE047">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2.身份证原件和复印件1份；</w:t>
      </w:r>
    </w:p>
    <w:p w14:paraId="55B8AADF">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3.有效的学位证（有学位要求的，下同）、毕业证原件和复印件1份。</w:t>
      </w:r>
    </w:p>
    <w:p w14:paraId="40A2B83B">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其中，参加面试资格审查时，</w:t>
      </w:r>
      <w:r>
        <w:rPr>
          <w:rFonts w:hint="eastAsia" w:ascii="仿宋_GB2312" w:hAnsi="仿宋_GB2312" w:eastAsia="仿宋_GB2312" w:cs="仿宋_GB2312"/>
          <w:color w:val="auto"/>
          <w:sz w:val="28"/>
          <w:szCs w:val="28"/>
          <w:highlight w:val="none"/>
        </w:rPr>
        <w:t>2025年高校应届毕业生</w:t>
      </w:r>
      <w:r>
        <w:rPr>
          <w:rFonts w:ascii="仿宋_GB2312" w:hAnsi="仿宋_GB2312" w:eastAsia="仿宋_GB2312" w:cs="仿宋_GB2312"/>
          <w:color w:val="auto"/>
          <w:sz w:val="28"/>
          <w:szCs w:val="28"/>
          <w:highlight w:val="none"/>
        </w:rPr>
        <w:t>尚未取得毕业证和学位证的，需提供学生证原件及复印件1份，学校主管毕业生就业工作部门开具的就读院系及专业等情况的证明原件。</w:t>
      </w:r>
    </w:p>
    <w:p w14:paraId="4454949F">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4.其他与报考资格相关的材料。</w:t>
      </w:r>
      <w:r>
        <w:rPr>
          <w:rFonts w:hint="eastAsia" w:ascii="仿宋_GB2312" w:hAnsi="仿宋_GB2312" w:eastAsia="仿宋_GB2312" w:cs="仿宋_GB2312"/>
          <w:color w:val="auto"/>
          <w:sz w:val="28"/>
          <w:szCs w:val="28"/>
          <w:highlight w:val="none"/>
        </w:rPr>
        <w:t>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1份。</w:t>
      </w:r>
    </w:p>
    <w:p w14:paraId="266CCF33">
      <w:pPr>
        <w:spacing w:line="50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ascii="仿宋_GB2312" w:hAnsi="仿宋_GB2312" w:eastAsia="仿宋_GB2312" w:cs="仿宋_GB2312"/>
          <w:color w:val="auto"/>
          <w:sz w:val="28"/>
          <w:szCs w:val="28"/>
          <w:highlight w:val="none"/>
        </w:rPr>
        <w:t>符合条件的机关事业单位人员</w:t>
      </w:r>
      <w:r>
        <w:rPr>
          <w:rFonts w:hint="eastAsia" w:ascii="仿宋_GB2312" w:hAnsi="仿宋_GB2312" w:eastAsia="仿宋_GB2312" w:cs="仿宋_GB2312"/>
          <w:color w:val="auto"/>
          <w:sz w:val="28"/>
          <w:szCs w:val="28"/>
          <w:highlight w:val="none"/>
        </w:rPr>
        <w:t>报名应聘</w:t>
      </w:r>
      <w:r>
        <w:rPr>
          <w:rFonts w:ascii="仿宋_GB2312" w:hAnsi="仿宋_GB2312" w:eastAsia="仿宋_GB2312" w:cs="仿宋_GB2312"/>
          <w:color w:val="auto"/>
          <w:sz w:val="28"/>
          <w:szCs w:val="28"/>
          <w:highlight w:val="none"/>
        </w:rPr>
        <w:t>须按干部管理权限征得用人单位及相关部门书面同意。</w:t>
      </w:r>
    </w:p>
    <w:p w14:paraId="7125883F">
      <w:pPr>
        <w:spacing w:line="500" w:lineRule="exact"/>
        <w:ind w:firstLine="560" w:firstLineChars="200"/>
        <w:rPr>
          <w:color w:val="auto"/>
          <w:highlight w:val="none"/>
        </w:rPr>
      </w:pPr>
      <w:r>
        <w:rPr>
          <w:rFonts w:hint="eastAsia" w:ascii="仿宋_GB2312" w:hAnsi="仿宋_GB2312" w:eastAsia="仿宋_GB2312" w:cs="仿宋_GB2312"/>
          <w:color w:val="auto"/>
          <w:sz w:val="28"/>
          <w:szCs w:val="28"/>
          <w:highlight w:val="none"/>
        </w:rPr>
        <w:t>6.</w:t>
      </w:r>
      <w:r>
        <w:rPr>
          <w:rFonts w:ascii="仿宋_GB2312" w:hAnsi="仿宋_GB2312" w:eastAsia="仿宋_GB2312" w:cs="仿宋_GB2312"/>
          <w:color w:val="auto"/>
          <w:sz w:val="28"/>
          <w:szCs w:val="28"/>
          <w:highlight w:val="none"/>
        </w:rPr>
        <w:t>留学归国人员应持国家教育部留学服务中心认证学历、学位参加资格审查。</w:t>
      </w:r>
    </w:p>
    <w:p w14:paraId="265CF4FF">
      <w:pPr>
        <w:spacing w:line="500" w:lineRule="exact"/>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六</w:t>
      </w:r>
      <w:r>
        <w:rPr>
          <w:rFonts w:ascii="黑体" w:hAnsi="黑体" w:eastAsia="黑体" w:cs="黑体"/>
          <w:color w:val="auto"/>
          <w:sz w:val="28"/>
          <w:szCs w:val="28"/>
          <w:highlight w:val="none"/>
        </w:rPr>
        <w:t>、违纪违规及存在不诚信情形的应聘人员如何处理？</w:t>
      </w:r>
    </w:p>
    <w:p w14:paraId="3D45B3B8">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2B61151D">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2842955C">
      <w:pPr>
        <w:spacing w:line="500" w:lineRule="exact"/>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七</w:t>
      </w:r>
      <w:r>
        <w:rPr>
          <w:rFonts w:ascii="黑体" w:hAnsi="黑体" w:eastAsia="黑体" w:cs="黑体"/>
          <w:color w:val="auto"/>
          <w:sz w:val="28"/>
          <w:szCs w:val="28"/>
          <w:highlight w:val="none"/>
        </w:rPr>
        <w:t>、申请减免报考费用</w:t>
      </w:r>
      <w:r>
        <w:rPr>
          <w:rFonts w:hint="eastAsia" w:ascii="黑体" w:hAnsi="黑体" w:eastAsia="黑体" w:cs="黑体"/>
          <w:color w:val="auto"/>
          <w:sz w:val="28"/>
          <w:szCs w:val="28"/>
          <w:highlight w:val="none"/>
        </w:rPr>
        <w:t>办理手续</w:t>
      </w:r>
    </w:p>
    <w:p w14:paraId="4ECE484B">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1.适用人员：享受国家最低生活保障金的城镇、农村家庭考生；脱贫户家庭考生；父母双亡、父母一方为烈士或一级伤残军人，且生活十分困难家庭考生。</w:t>
      </w:r>
    </w:p>
    <w:p w14:paraId="110B1229">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2.办理地点：成都市人事考试中心（成都市青羊区清江东路118号3号楼一楼报名大厅，联系电话：028-61802812，</w:t>
      </w:r>
      <w:r>
        <w:rPr>
          <w:rFonts w:hint="eastAsia" w:ascii="仿宋_GB2312" w:eastAsia="仿宋_GB2312"/>
          <w:snapToGrid w:val="0"/>
          <w:color w:val="auto"/>
          <w:kern w:val="0"/>
          <w:sz w:val="32"/>
          <w:szCs w:val="32"/>
          <w:highlight w:val="none"/>
        </w:rPr>
        <w:t>028-61802797</w:t>
      </w:r>
      <w:r>
        <w:rPr>
          <w:rFonts w:hint="eastAsia" w:ascii="仿宋_GB2312" w:hAnsi="仿宋_GB2312" w:eastAsia="仿宋_GB2312" w:cs="仿宋_GB2312"/>
          <w:color w:val="auto"/>
          <w:sz w:val="28"/>
          <w:szCs w:val="28"/>
          <w:highlight w:val="none"/>
        </w:rPr>
        <w:t>）。</w:t>
      </w:r>
    </w:p>
    <w:p w14:paraId="7C4F59D9">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3.办理时间：2025年4月11日-4月15日（工作日每日9点-17点），19日17点以后提交材料或者提供材料不符合相关要求的不做减免处理。</w:t>
      </w:r>
    </w:p>
    <w:p w14:paraId="43C84946">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4.所需材料：</w:t>
      </w:r>
    </w:p>
    <w:p w14:paraId="1A45448A">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16B4EA80">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（2）脱贫户家庭考生，凭乡（镇）政府、街道办事处和学校学生处出具的原农村建档立卡贫困户证明、特殊困难证明；</w:t>
      </w:r>
    </w:p>
    <w:p w14:paraId="59552D05">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（3）父母双亡、父母一方为烈士或一级伤残军人，且生活十分困难家庭考生，凭有关部门出具的父母双亡证明或民政部门（退役军人事务部门）出具的父亲或母亲烈士证明、父亲或母亲一级伤残军人证明。</w:t>
      </w:r>
    </w:p>
    <w:p w14:paraId="26C71899">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5.办理程序：</w:t>
      </w:r>
    </w:p>
    <w:p w14:paraId="13C56F01">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（1）首先在网上完成报名，</w:t>
      </w:r>
      <w:r>
        <w:rPr>
          <w:rFonts w:hint="eastAsia" w:ascii="仿宋_GB2312" w:hAnsi="仿宋_GB2312" w:eastAsia="仿宋_GB2312" w:cs="仿宋_GB2312"/>
          <w:color w:val="auto"/>
          <w:sz w:val="28"/>
          <w:szCs w:val="28"/>
          <w:highlight w:val="none"/>
          <w:lang w:val="en-US" w:eastAsia="zh-CN"/>
        </w:rPr>
        <w:t>并先</w:t>
      </w:r>
      <w:r>
        <w:rPr>
          <w:rFonts w:hint="eastAsia" w:ascii="仿宋_GB2312" w:hAnsi="仿宋_GB2312" w:eastAsia="仿宋_GB2312" w:cs="仿宋_GB2312"/>
          <w:color w:val="auto"/>
          <w:sz w:val="28"/>
          <w:szCs w:val="28"/>
          <w:highlight w:val="none"/>
        </w:rPr>
        <w:t>缴纳报名费用。</w:t>
      </w:r>
    </w:p>
    <w:p w14:paraId="7E88BD56">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（2）报考人员可到现场办理减免报考费用的手续。不方便到现场办理的人员，须拨打联系电话（028-61802797），通过传真或邮箱上传减免所需材料，经审核确认后办理减免手续。</w:t>
      </w:r>
    </w:p>
    <w:p w14:paraId="4A2C3C28">
      <w:pPr>
        <w:spacing w:line="500" w:lineRule="exact"/>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八</w:t>
      </w:r>
      <w:r>
        <w:rPr>
          <w:rFonts w:hint="eastAsia" w:ascii="黑体" w:hAnsi="黑体" w:eastAsia="黑体" w:cs="黑体"/>
          <w:color w:val="auto"/>
          <w:sz w:val="28"/>
          <w:szCs w:val="28"/>
          <w:highlight w:val="none"/>
        </w:rPr>
        <w:t>、其他</w:t>
      </w:r>
    </w:p>
    <w:p w14:paraId="1400B904">
      <w:pPr>
        <w:spacing w:line="500" w:lineRule="exact"/>
        <w:ind w:firstLine="560" w:firstLineChars="200"/>
        <w:rPr>
          <w:rFonts w:ascii="Times New Roman" w:hAnsi="Times New Roman" w:eastAsia="方正仿宋_GB2312"/>
          <w:snapToGrid w:val="0"/>
          <w:color w:val="auto"/>
          <w:kern w:val="0"/>
          <w:sz w:val="32"/>
          <w:szCs w:val="32"/>
          <w:highlight w:val="none"/>
        </w:rPr>
      </w:pPr>
      <w:r>
        <w:rPr>
          <w:rFonts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rPr>
        <w:t>次招聘</w:t>
      </w:r>
      <w:r>
        <w:rPr>
          <w:rFonts w:ascii="仿宋_GB2312" w:hAnsi="仿宋_GB2312" w:eastAsia="仿宋_GB2312" w:cs="仿宋_GB2312"/>
          <w:color w:val="auto"/>
          <w:sz w:val="28"/>
          <w:szCs w:val="28"/>
          <w:highlight w:val="none"/>
        </w:rPr>
        <w:t>公告</w:t>
      </w:r>
      <w:r>
        <w:rPr>
          <w:rFonts w:hint="eastAsia" w:ascii="仿宋_GB2312" w:hAnsi="仿宋_GB2312" w:eastAsia="仿宋_GB2312" w:cs="仿宋_GB2312"/>
          <w:color w:val="auto"/>
          <w:sz w:val="28"/>
          <w:szCs w:val="28"/>
          <w:highlight w:val="none"/>
        </w:rPr>
        <w:t>中</w:t>
      </w:r>
      <w:r>
        <w:rPr>
          <w:rFonts w:ascii="仿宋_GB2312" w:hAnsi="仿宋_GB2312" w:eastAsia="仿宋_GB2312" w:cs="仿宋_GB2312"/>
          <w:color w:val="auto"/>
          <w:sz w:val="28"/>
          <w:szCs w:val="28"/>
          <w:highlight w:val="none"/>
        </w:rPr>
        <w:t>所指“以上”“以下”“以前”“以后”均包含本级（数），如</w:t>
      </w: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年以上工作经历，指工作经历满</w:t>
      </w: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年；专技12级以上或以下，均含专技12级，以此类推。</w:t>
      </w:r>
    </w:p>
    <w:p w14:paraId="56F96344">
      <w:pPr>
        <w:ind w:firstLine="453"/>
        <w:rPr>
          <w:color w:val="auto"/>
          <w:highlight w:val="none"/>
        </w:rPr>
      </w:pPr>
    </w:p>
    <w:p w14:paraId="2A0E7D98">
      <w:pPr>
        <w:rPr>
          <w:color w:val="auto"/>
          <w:highlight w:val="none"/>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FB425">
    <w:pPr>
      <w:pStyle w:val="4"/>
    </w:pPr>
    <w:r>
      <w:pict>
        <v:shape id="文本框 2" o:spid="_x0000_s102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14:paraId="71854DB0">
                <w:pPr>
                  <w:pStyle w:val="4"/>
                </w:pPr>
                <w:r>
                  <w:fldChar w:fldCharType="begin"/>
                </w:r>
                <w:r>
                  <w:instrText xml:space="preserve"> PAGE  \* MERGEFORMAT </w:instrText>
                </w:r>
                <w:r>
                  <w:fldChar w:fldCharType="separate"/>
                </w:r>
                <w:r>
                  <w:t>18</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96EE1"/>
    <w:rsid w:val="00396EE1"/>
    <w:rsid w:val="003A2289"/>
    <w:rsid w:val="00446DFF"/>
    <w:rsid w:val="009B5F15"/>
    <w:rsid w:val="00C45E12"/>
    <w:rsid w:val="53053876"/>
    <w:rsid w:val="565C7E9B"/>
    <w:rsid w:val="62AC433C"/>
    <w:rsid w:val="6D553E18"/>
    <w:rsid w:val="70402289"/>
    <w:rsid w:val="76444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Body Text Indent 2"/>
    <w:basedOn w:val="1"/>
    <w:link w:val="10"/>
    <w:qFormat/>
    <w:uiPriority w:val="0"/>
    <w:pPr>
      <w:ind w:firstLine="480" w:firstLineChars="200"/>
    </w:pPr>
    <w:rPr>
      <w:rFonts w:ascii="仿宋_GB2312" w:eastAsia="仿宋_GB2312"/>
      <w:sz w:val="24"/>
    </w:rPr>
  </w:style>
  <w:style w:type="paragraph" w:styleId="4">
    <w:name w:val="footer"/>
    <w:basedOn w:val="1"/>
    <w:link w:val="9"/>
    <w:unhideWhenUsed/>
    <w:qFormat/>
    <w:uiPriority w:val="0"/>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正文文本缩进 2 Char"/>
    <w:basedOn w:val="7"/>
    <w:link w:val="3"/>
    <w:qFormat/>
    <w:uiPriority w:val="0"/>
    <w:rPr>
      <w:rFonts w:ascii="仿宋_GB2312" w:hAnsi="Calibri" w:eastAsia="仿宋_GB2312" w:cs="Times New Roman"/>
      <w:sz w:val="24"/>
      <w:szCs w:val="24"/>
    </w:rPr>
  </w:style>
  <w:style w:type="character" w:customStyle="1" w:styleId="11">
    <w:name w:val="style51"/>
    <w:qFormat/>
    <w:uiPriority w:val="0"/>
    <w:rPr>
      <w:rFonts w:ascii="Times New Roman" w:hAnsi="Times New Roman" w:eastAsia="宋体" w:cs="Times New Roman"/>
      <w:color w:val="000000"/>
      <w:sz w:val="18"/>
      <w:szCs w:val="18"/>
      <w:u w:val="none"/>
      <w:lang w:bidi="ar-SA"/>
    </w:rPr>
  </w:style>
  <w:style w:type="paragraph" w:customStyle="1" w:styleId="12">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3811</Words>
  <Characters>3925</Characters>
  <Lines>106</Lines>
  <Paragraphs>30</Paragraphs>
  <TotalTime>11</TotalTime>
  <ScaleCrop>false</ScaleCrop>
  <LinksUpToDate>false</LinksUpToDate>
  <CharactersWithSpaces>3928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2025-02-21T08:49:00Z</dcterms:created>
  <dc:creator>丁雷</dc:creator>
  <cp:lastModifiedBy>付之助</cp:lastModifiedBy>
  <dcterms:modified xsi:type="dcterms:W3CDTF">2025-03-14T09:02:13Z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eyJoZGlkIjoiODE3MDc1M2YxZmIzZWQxMTJmZTgyYzA0NWExZGNlMWYiLCJ1c2VySWQiOiIxMjE3MDI0OCJ9</vt:lpwstr>
  </property>
  <property fmtid="{D5CDD505-2E9C-101B-9397-08002B2CF9AE}" pid="3" name="KSOProductBuildVer">
    <vt:lpwstr>2052-12.1.0.20305</vt:lpwstr>
  </property>
  <property fmtid="{D5CDD505-2E9C-101B-9397-08002B2CF9AE}" pid="4" name="ICV">
    <vt:lpwstr>06756F99218B45C88C1962D1B18FEA5A_12</vt:lpwstr>
  </property>
</Properties>
</file>