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3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新疆巴州库尔勒经济技术开发区2025年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事业单位引进急需紧缺人才公告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为深入推进人才强区战略，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进一步改善和优化人才队伍结构，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助力经济社会高质量发展，国家级库尔勒经济技术开发区面向社会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公开引进硕士研究生等高层次人才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11名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。现将相关事宜公告如下：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一、引进程序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发布公告。通过新疆维吾尔自治区人力资源和社会保障厅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官网（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rst.xinjiang.gov.cn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）、中国新疆人才网（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www.xjrc365.com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）、新疆人事考试中心网（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www.xjrsks.com.cn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巴州人民政府网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www.xjbz.gov.cn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等渠道发布公告。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公开报名。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报名时间为202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日--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19：30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报名采取网上报名的方式，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报名网址（https://docs.qq.com/form/page/DSVFPRmZ2WmhHT2Ra）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）资格审查及面试考核。由组织人事部门对引进对象进行资格审查，并会同用人单位对拟引进对象进行面试考核。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考核采取线上或线下面试等方式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进行。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根据报名情况，适时组织考核，考核形式、时间、地点另行通知。考核合格人员进入体检环节。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）体检。根据考核情况，按照招聘计划1:1的比例确定体检人员，体检标准按照《自治区事业单位面向社会公开招聘工作人员通用体检标准（试行）》执行，具体时间、地点另行通知。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）考察。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由用人单位采取多种形式进行考察，重点了解考生政治思想表现、道德品质、业务能力、工作实绩以及需要回避的情况等。在考察中，经审定不符合招聘条件和要求的人员，考察结论为不合格的，取消进入下一环节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）公示。</w:t>
      </w:r>
      <w:r>
        <w:rPr>
          <w:rFonts w:ascii="Times New Roman" w:hAnsi="Times New Roman" w:eastAsia="方正仿宋_GBK" w:cs="Times New Roman"/>
          <w:sz w:val="32"/>
          <w:szCs w:val="32"/>
        </w:rPr>
        <w:t>考察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合格的，由巴州人力资源和社会保障局审核确认，</w:t>
      </w:r>
      <w:r>
        <w:rPr>
          <w:rFonts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巴州人民政府网站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（www.xjbz.gov.cn/）</w:t>
      </w:r>
      <w:r>
        <w:rPr>
          <w:rFonts w:ascii="Times New Roman" w:hAnsi="Times New Roman" w:eastAsia="方正仿宋_GBK" w:cs="Times New Roman"/>
          <w:sz w:val="32"/>
          <w:szCs w:val="32"/>
        </w:rPr>
        <w:t>进行公示，公示期为7个工作日。公示期满后，没有反映问题或反映有问题但不影响聘用的，办理聘用手续；对反映有影响聘用问题并查有实据的，不予聘用；对反映问题一时难以查实的，可暂缓聘用，待查清后再决定是否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）聘用。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公示期满，对没有问题反映或者反映的问题不影响聘用的，拟聘用人员持毕业证书、学位证书等资料到岗报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，按照规定程序办理聘用手续。对反映有影响聘用问题并查实的，不予聘用；对反映问题一时难以查实的暂缓聘用，待查核清楚后再视情办理。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  <w:t>、优惠政策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    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（一）免笔试入编。引进至库尔勒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经济技术开发区所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属事业单位的各类人才，按引进人才相关程序纳入事业编制，兑现事业单位相应岗位的工资福利待遇。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    （二）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住房和租房补贴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对在库尔勒及开发区无房的，在开发区工作期间，可免费申请巴州人才公寓保障性租赁住房1套或申请给予500元每月租房补贴，累计享受不超过2年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（一）考生未在规定时间内毕业，未按要求参加资格审查、面试考核、体检，未按规定时间报到和办理聘用手续的，均视为考生自动放弃。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（二）资格审核贯穿引才工作全过程，在任何环节发现考生存在不符合条件的，一经查实，取消聘用资格，问题严重的按照有关规定追究责任。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（三）考生报名时，务必填写本人常用联系方式，确保手机等通讯设备畅通。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（四）欢迎有意来库尔勒经济技术开发区工作的各类人才踊跃报考。请应聘人员按公告规定的报名时间完成网上报名，上传相关资料。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）报名咨询电话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    库尔勒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经济技术开发区党群事务中心（组织人事科）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0996-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2119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 xml:space="preserve">报名入口：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  <w:t>https://docs.qq.com/form/page/DSVFPRmZ2WmhHT2Ra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.扫描二维码注册报名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1600" w:firstLineChars="500"/>
        <w:textAlignment w:val="auto"/>
        <w:rPr>
          <w:rFonts w:hint="eastAsia" w:ascii="Times New Roman" w:hAnsi="Times New Roman" w:eastAsia="方正仿宋_GBK" w:cs="Times New Roman"/>
          <w:color w:val="FF0000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1534160</wp:posOffset>
            </wp:positionH>
            <wp:positionV relativeFrom="paragraph">
              <wp:posOffset>137160</wp:posOffset>
            </wp:positionV>
            <wp:extent cx="1882140" cy="1874520"/>
            <wp:effectExtent l="0" t="0" r="7620" b="0"/>
            <wp:wrapTopAndBottom/>
            <wp:docPr id="2" name="图片 2" descr="f647ced14551866fbdd231a5b901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47ced14551866fbdd231a5b901d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color w:val="FF0000"/>
          <w:sz w:val="31"/>
          <w:szCs w:val="31"/>
          <w:highlight w:val="none"/>
        </w:rPr>
        <w:t xml:space="preserve">  </w:t>
      </w:r>
      <w:r>
        <w:rPr>
          <w:rFonts w:hint="eastAsia" w:ascii="Times New Roman" w:hAnsi="Times New Roman" w:eastAsia="方正仿宋_GBK" w:cs="Times New Roman"/>
          <w:color w:val="FF0000"/>
          <w:sz w:val="31"/>
          <w:szCs w:val="31"/>
          <w:highlight w:val="none"/>
          <w:lang w:val="en-US" w:eastAsia="zh-CN"/>
        </w:rPr>
        <w:t xml:space="preserve">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2560" w:firstLineChars="8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 库尔勒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经济技术开发区党群事务中心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5151C"/>
    <w:rsid w:val="201B1B65"/>
    <w:rsid w:val="2D067BEC"/>
    <w:rsid w:val="2DC25958"/>
    <w:rsid w:val="333442B0"/>
    <w:rsid w:val="3E1456F3"/>
    <w:rsid w:val="3F6E24CF"/>
    <w:rsid w:val="459D1559"/>
    <w:rsid w:val="5FA358D4"/>
    <w:rsid w:val="676450F4"/>
    <w:rsid w:val="6E53609B"/>
    <w:rsid w:val="72084D96"/>
    <w:rsid w:val="7A5F0A31"/>
    <w:rsid w:val="7B583C9E"/>
    <w:rsid w:val="BFE70B5E"/>
    <w:rsid w:val="FF5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99"/>
    <w:pPr>
      <w:spacing w:after="120"/>
      <w:ind w:firstLine="420" w:firstLineChars="1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2024-05-27T11:48:00Z</dcterms:created>
  <dc:creator>Administrator</dc:creator>
  <cp:lastModifiedBy>Administrator</cp:lastModifiedBy>
  <cp:lastPrinted>2024-05-28T20:00:00Z</cp:lastPrinted>
  <dcterms:modified xsi:type="dcterms:W3CDTF">2025-03-29T04:10:50Z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3C172E73D08147AEAA7F24CEBF51A900</vt:lpwstr>
  </property>
</Properties>
</file>