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80" w:lineRule="exact"/>
        <w:rPr>
          <w:rFonts w:hint="default" w:ascii="Times New Roman" w:hAnsi="Times New Roman" w:eastAsia="黑体" w:cs="Arial"/>
          <w:color w:val="auto"/>
          <w:kern w:val="0"/>
          <w:highlight w:val="none"/>
          <w:lang w:val="en-US" w:eastAsia="zh-CN"/>
        </w:rPr>
      </w:pPr>
      <w:bookmarkStart w:id="0" w:name="OLE_LINK27"/>
      <w:bookmarkStart w:id="1" w:name="OLE_LINK2"/>
      <w:r>
        <w:rPr>
          <w:rFonts w:hint="eastAsia" w:ascii="Times New Roman" w:hAnsi="Times New Roman" w:eastAsia="黑体" w:cs="Arial"/>
          <w:color w:val="auto"/>
          <w:kern w:val="0"/>
          <w:highlight w:val="none"/>
          <w:lang w:val="en-US" w:eastAsia="zh-CN"/>
        </w:rPr>
        <w:t>附件1</w:t>
      </w:r>
      <w:bookmarkStart w:id="23" w:name="_GoBack"/>
      <w:bookmarkEnd w:id="23"/>
    </w:p>
    <w:bookmarkEnd w:id="0"/>
    <w:p>
      <w:pPr>
        <w:pStyle w:val="4"/>
        <w:spacing w:before="240" w:beforeLines="100" w:after="120" w:afterLines="50" w:line="58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Arial"/>
          <w:color w:val="auto"/>
          <w:kern w:val="0"/>
          <w:sz w:val="44"/>
          <w:szCs w:val="44"/>
          <w:highlight w:val="none"/>
        </w:rPr>
        <w:t>长沙市开福区</w:t>
      </w:r>
      <w:r>
        <w:rPr>
          <w:rFonts w:hint="eastAsia" w:ascii="Times New Roman" w:hAnsi="Times New Roman" w:eastAsia="方正小标宋简体" w:cs="Arial"/>
          <w:color w:val="auto"/>
          <w:kern w:val="0"/>
          <w:sz w:val="44"/>
          <w:szCs w:val="44"/>
          <w:highlight w:val="none"/>
          <w:lang w:val="en-US" w:eastAsia="zh-CN"/>
        </w:rPr>
        <w:t>教育系统</w:t>
      </w:r>
      <w:r>
        <w:rPr>
          <w:rFonts w:ascii="Times New Roman" w:hAnsi="Times New Roman" w:eastAsia="方正小标宋简体" w:cs="Arial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Arial"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小标宋简体" w:cs="Arial"/>
          <w:color w:val="auto"/>
          <w:kern w:val="0"/>
          <w:sz w:val="44"/>
          <w:szCs w:val="44"/>
          <w:highlight w:val="none"/>
        </w:rPr>
        <w:t>年公开招聘教师岗位计划表</w:t>
      </w:r>
    </w:p>
    <w:tbl>
      <w:tblPr>
        <w:tblStyle w:val="8"/>
        <w:tblW w:w="143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200"/>
        <w:gridCol w:w="621"/>
        <w:gridCol w:w="1137"/>
        <w:gridCol w:w="1188"/>
        <w:gridCol w:w="1137"/>
        <w:gridCol w:w="1360"/>
        <w:gridCol w:w="1478"/>
        <w:gridCol w:w="983"/>
        <w:gridCol w:w="1250"/>
        <w:gridCol w:w="3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tblHeader/>
          <w:jc w:val="center"/>
        </w:trPr>
        <w:tc>
          <w:tcPr>
            <w:tcW w:w="927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2" w:name="OLE_LINK51"/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20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621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计划数</w:t>
            </w:r>
          </w:p>
        </w:tc>
        <w:tc>
          <w:tcPr>
            <w:tcW w:w="11633" w:type="dxa"/>
            <w:gridSpan w:val="8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资</w:t>
            </w:r>
            <w:r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格</w:t>
            </w:r>
            <w:r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条</w:t>
            </w:r>
            <w:r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Header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21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（及以上）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位</w:t>
            </w:r>
          </w:p>
          <w:p>
            <w:pPr>
              <w:widowControl/>
              <w:spacing w:line="3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（及以上）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spacing w:line="340" w:lineRule="exact"/>
              <w:ind w:left="240" w:hanging="240" w:hangingChars="100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  <w:p>
            <w:pPr>
              <w:widowControl/>
              <w:spacing w:line="340" w:lineRule="exact"/>
              <w:ind w:left="240" w:hanging="240" w:hangingChars="100"/>
              <w:jc w:val="center"/>
              <w:rPr>
                <w:rFonts w:hint="default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教师资格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种类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（及以上）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教师资格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             要求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普通话水平等级</w:t>
            </w:r>
          </w:p>
          <w:p>
            <w:pPr>
              <w:widowControl/>
              <w:spacing w:line="300" w:lineRule="exact"/>
              <w:ind w:left="-105" w:leftChars="-50" w:right="-105" w:rightChars="-50" w:firstLine="0" w:firstLineChars="0"/>
              <w:jc w:val="center"/>
              <w:rPr>
                <w:rFonts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</w:rPr>
              <w:t>（及以上）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spacing w:line="340" w:lineRule="exact"/>
              <w:ind w:left="479" w:leftChars="114" w:hanging="240" w:hangingChars="100"/>
              <w:jc w:val="center"/>
              <w:rPr>
                <w:rFonts w:hint="default" w:ascii="Times New Roman" w:hAnsi="Times New Roman" w:eastAsia="黑体" w:cs="Arial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任教经历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3" w:name="OLE_LINK58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（含）以后出生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bookmarkEnd w:id="3"/>
          <w:p>
            <w:pPr>
              <w:widowControl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1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在职人员：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一年及以上（计算时间截至202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月3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日）的普通中小学校任教经历（不含兼职、实习、社会实践、培训机构、职业学校、高校等工作经历）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年春季学期仍在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bidi="ar"/>
              </w:rPr>
              <w:t>小学担任与报考学科岗位一致的教学工作的在岗教师（不含兼职人员）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2023届、2024届、2025届未落实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工作单位的高校毕业生：无需任教经历</w:t>
            </w:r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highlight w:val="none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104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color w:val="auto"/>
                <w:kern w:val="0"/>
                <w:sz w:val="24"/>
                <w:szCs w:val="24"/>
                <w:highlight w:val="cyan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065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bookmarkStart w:id="4" w:name="OLE_LINK17" w:colFirst="0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地理、物理、生物、化学、科学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4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024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（含）以后出生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bookmarkStart w:id="5" w:name="OLE_LINK60"/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一年及以上（计算时间截至202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月3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日）的普通中小学校任教经历（不含兼职、实习、社会实践、培训机构、职业学校、高校等工作经历）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年春季学期仍在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小学担任与报考学科岗位一致的教学工作的在岗教师（不含兼职人员）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2023届、2024届、2025届未落实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工作单位的高校毕业生：无需任教经历</w:t>
            </w:r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highlight w:val="none"/>
              </w:rPr>
              <w:t>。</w:t>
            </w:r>
          </w:p>
          <w:bookmarkEnd w:id="5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小学音乐（舞蹈）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小学体育（篮球）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小学体育（足球）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Arial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892" w:hRule="exact"/>
          <w:jc w:val="center"/>
        </w:trPr>
        <w:tc>
          <w:tcPr>
            <w:tcW w:w="274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</w:t>
            </w: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学段招聘人数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小计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1633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838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6" w:name="OLE_LINK57" w:colFirst="0" w:colLast="10"/>
            <w:bookmarkStart w:id="7" w:name="OLE_LINK59" w:colFirst="9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8" w:name="OLE_LINK3"/>
            <w:bookmarkStart w:id="9" w:name="OLE_LINK63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（含）以后出生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bookmarkEnd w:id="8"/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bookmarkEnd w:id="9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1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bookmarkStart w:id="10" w:name="OLE_LINK61"/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一年及以上（计算时间截至202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月3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日）的普通中小学校任教经历（不含兼职、实习、社会实践、培训机构、职业学校、高校等工作经历）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年春季学期仍在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小学担任与报考学科岗位一致的教学工作的在岗教师（不含兼职人员）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2023届、2024届、2025届未落实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工作单位的高校毕业生：无需任教经历</w:t>
            </w:r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highlight w:val="none"/>
              </w:rPr>
              <w:t>。</w:t>
            </w:r>
          </w:p>
          <w:bookmarkEnd w:id="1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6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91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904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913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道德与法治、思想政治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812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1" w:name="OLE_LINK21" w:colFirst="0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11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788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bookmarkStart w:id="12" w:name="OLE_LINK39" w:colFirst="0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12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953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（含）以后出生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3" w:name="OLE_LINK62"/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一年及以上（计算时间截至202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月3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日）的普通中小学校任教经历（不含兼职、实习、社会实践、培训机构、职业学校、高校等工作经历）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年春季学期仍在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小学担任与报考学科岗位一致的教学工作的在岗教师（不含兼职人员）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2023届、2024届、2025届未落实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工作单位的高校毕业生：无需任教经历</w:t>
            </w:r>
            <w:bookmarkEnd w:id="13"/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bookmarkStart w:id="14" w:name="OLE_LINK40" w:colFirst="0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14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5" w:name="OLE_LINK64"/>
            <w:bookmarkStart w:id="16" w:name="OLE_LINK38" w:colFirst="0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End w:id="15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16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928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955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7" w:name="OLE_LINK52" w:colFirst="3" w:colLast="4"/>
            <w:bookmarkStart w:id="18" w:name="OLE_LINK53" w:colFirst="6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17"/>
      <w:bookmarkEnd w:id="18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995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9" w:name="OLE_LINK55" w:colFirst="6" w:colLast="9"/>
            <w:bookmarkStart w:id="20" w:name="OLE_LINK54" w:colFirst="3" w:colLast="4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初中体育（田径）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19"/>
      <w:bookmarkEnd w:id="20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初中体育（足球）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周岁以下（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（含）以后出生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在职人员：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一年及以上（计算时间截至202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月3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日）的普通中小学校任教经历（不含兼职、实习、社会实践、培训机构、职业学校、高校等工作经历）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且</w:t>
            </w:r>
            <w:r>
              <w:rPr>
                <w:rFonts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年春季学期仍在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  <w:r>
              <w:rPr>
                <w:rFonts w:hint="default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u w:val="none"/>
                <w:lang w:bidi="ar"/>
              </w:rPr>
              <w:t>小学担任与报考学科岗位一致的教学工作的在岗教师（不含兼职人员）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2023届、2024届、2025届未落实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工作单位的高校毕业生：无需任教经历</w:t>
            </w:r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初中体育（篮球）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初中体育（排球）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bookmarkStart w:id="21" w:name="OLE_LINK50" w:colFirst="9" w:colLast="10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初中音乐（舞蹈）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初中音乐（器乐）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31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7"/>
      <w:bookmarkEnd w:id="21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</w:tblPrEx>
        <w:trPr>
          <w:trHeight w:val="1004" w:hRule="exact"/>
          <w:jc w:val="center"/>
        </w:trPr>
        <w:tc>
          <w:tcPr>
            <w:tcW w:w="274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初中学段招聘人数</w:t>
            </w:r>
          </w:p>
          <w:p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小计</w:t>
            </w:r>
          </w:p>
        </w:tc>
        <w:tc>
          <w:tcPr>
            <w:tcW w:w="11633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exact"/>
          <w:jc w:val="center"/>
        </w:trPr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eastAsia="zh-CN"/>
              </w:rPr>
            </w:pPr>
            <w:bookmarkStart w:id="22" w:name="OLE_LINK48" w:colFirst="0" w:colLast="9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cyan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ascii="Times New Roman" w:hAnsi="Times New Roman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28周岁以下（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（含）以后出生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仅限</w:t>
            </w: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spacing w:val="-4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Times New Roman" w:hAnsi="Times New Roman" w:cs="Arial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教育类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Times New Roman" w:hAnsi="Times New Roman" w:cs="Arial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二级甲等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bookmarkEnd w:id="22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274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幼儿园学段招聘人数</w:t>
            </w:r>
            <w:r>
              <w:rPr>
                <w:rFonts w:hint="eastAsia" w:ascii="Times New Roman" w:hAnsi="Times New Roman" w:cs="Arial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633" w:type="dxa"/>
            <w:gridSpan w:val="8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Arial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274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Times New Roman" w:hAnsi="Times New Roman" w:eastAsia="宋体" w:cs="Arial"/>
                <w:color w:val="auto"/>
                <w:kern w:val="0"/>
                <w:sz w:val="24"/>
                <w:szCs w:val="24"/>
                <w:highlight w:val="cyan"/>
                <w:lang w:eastAsia="zh-CN"/>
              </w:rPr>
            </w:pPr>
            <w:r>
              <w:rPr>
                <w:rFonts w:hint="eastAsia" w:ascii="Times New Roman" w:hAnsi="Times New Roman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ascii="Times New Roman" w:hAnsi="Times New Roman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11633" w:type="dxa"/>
            <w:gridSpan w:val="8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Arial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Arial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</w:tr>
      <w:bookmarkEnd w:id="1"/>
      <w:bookmarkEnd w:id="2"/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2098" w:right="1587" w:bottom="2098" w:left="1587" w:header="851" w:footer="129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DC87008-C9B8-4F40-83E3-7BD6D13879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CB0A92-6A35-4E0B-A901-24545ACAA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A9C9AA9-BA36-48CA-9198-40F456B35E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D6277D-38F0-4CBB-A273-7BC208E1FE4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3F15809-385B-423C-9FE9-54986A6D317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617"/>
      </w:tabs>
      <w:spacing w:line="176" w:lineRule="auto"/>
      <w:ind w:left="0"/>
      <w:jc w:val="right"/>
      <w:rPr>
        <w:rFonts w:ascii="Times New Roman" w:hAnsi="Times New Roman" w:eastAsia="宋体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38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38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733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73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3.65pt;width:144pt;mso-position-horizontal-relative:margin;mso-wrap-style:none;z-index:251659264;mso-width-relative:page;mso-height-relative:page;" filled="f" stroked="f" coordsize="21600,21600" o:gfxdata="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RlaqbUAAAABAEAAA8AAAAAAAAAAQAgAAAAIgAAAGRycy9kb3ducmV2Lnht&#10;bFBLAQIUABQAAAAIAIdO4kB4/DP0NgIAAGA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2QyNmZlNTA0YTVjZTA5OTYwNTE3ZTljODJhMTQifQ=="/>
    <w:docVar w:name="KSO_WPS_MARK_KEY" w:val="dd537d29-5e67-4dd5-be3d-a07b8cb709e7"/>
  </w:docVars>
  <w:rsids>
    <w:rsidRoot w:val="00000000"/>
    <w:rsid w:val="023D0B8F"/>
    <w:rsid w:val="02DC43E4"/>
    <w:rsid w:val="02F11E61"/>
    <w:rsid w:val="03A10EC6"/>
    <w:rsid w:val="04B8274F"/>
    <w:rsid w:val="057B4FF2"/>
    <w:rsid w:val="05C14D3D"/>
    <w:rsid w:val="06155A61"/>
    <w:rsid w:val="06990F38"/>
    <w:rsid w:val="06B807E5"/>
    <w:rsid w:val="06CC4290"/>
    <w:rsid w:val="06D31B91"/>
    <w:rsid w:val="06DC4796"/>
    <w:rsid w:val="0768220B"/>
    <w:rsid w:val="083245C7"/>
    <w:rsid w:val="08A83A6D"/>
    <w:rsid w:val="098B0432"/>
    <w:rsid w:val="09AE4570"/>
    <w:rsid w:val="0A491435"/>
    <w:rsid w:val="0C092FD8"/>
    <w:rsid w:val="0DC65945"/>
    <w:rsid w:val="0DD16354"/>
    <w:rsid w:val="0F841BAC"/>
    <w:rsid w:val="0FA91612"/>
    <w:rsid w:val="0FCD1B74"/>
    <w:rsid w:val="10E77620"/>
    <w:rsid w:val="121307B4"/>
    <w:rsid w:val="12C80001"/>
    <w:rsid w:val="13683A9F"/>
    <w:rsid w:val="140C03C2"/>
    <w:rsid w:val="141E7AE1"/>
    <w:rsid w:val="14973315"/>
    <w:rsid w:val="154655C6"/>
    <w:rsid w:val="15C22838"/>
    <w:rsid w:val="15F04BF4"/>
    <w:rsid w:val="160433FD"/>
    <w:rsid w:val="16242E7D"/>
    <w:rsid w:val="16827CB9"/>
    <w:rsid w:val="174A36DB"/>
    <w:rsid w:val="187577F3"/>
    <w:rsid w:val="18B54045"/>
    <w:rsid w:val="18D1694C"/>
    <w:rsid w:val="18F25DD8"/>
    <w:rsid w:val="196565AA"/>
    <w:rsid w:val="19CE05F3"/>
    <w:rsid w:val="19D13D4F"/>
    <w:rsid w:val="1A1C4110"/>
    <w:rsid w:val="1AD5775F"/>
    <w:rsid w:val="1AD87250"/>
    <w:rsid w:val="1B520C93"/>
    <w:rsid w:val="1BF63805"/>
    <w:rsid w:val="1C487A8D"/>
    <w:rsid w:val="1C6D2CC0"/>
    <w:rsid w:val="1CD33EC0"/>
    <w:rsid w:val="1CE1321A"/>
    <w:rsid w:val="1D2832A6"/>
    <w:rsid w:val="1D2D6B68"/>
    <w:rsid w:val="1D483C3A"/>
    <w:rsid w:val="1D4C7DD7"/>
    <w:rsid w:val="1E4F5A7B"/>
    <w:rsid w:val="1E7159F1"/>
    <w:rsid w:val="1E7C764D"/>
    <w:rsid w:val="1ECF2A87"/>
    <w:rsid w:val="1F527708"/>
    <w:rsid w:val="20512A4D"/>
    <w:rsid w:val="213D1B0B"/>
    <w:rsid w:val="230E1CA1"/>
    <w:rsid w:val="2363734E"/>
    <w:rsid w:val="238B62CC"/>
    <w:rsid w:val="23933228"/>
    <w:rsid w:val="2500148D"/>
    <w:rsid w:val="264B11EF"/>
    <w:rsid w:val="26C32D47"/>
    <w:rsid w:val="26D23727"/>
    <w:rsid w:val="272555CB"/>
    <w:rsid w:val="28341B4D"/>
    <w:rsid w:val="2885573E"/>
    <w:rsid w:val="289B5394"/>
    <w:rsid w:val="290B365E"/>
    <w:rsid w:val="29361D11"/>
    <w:rsid w:val="295F3481"/>
    <w:rsid w:val="29771443"/>
    <w:rsid w:val="29DF5852"/>
    <w:rsid w:val="2AC90ABE"/>
    <w:rsid w:val="2AEA5A37"/>
    <w:rsid w:val="2B3521F7"/>
    <w:rsid w:val="2B990335"/>
    <w:rsid w:val="2BB040D6"/>
    <w:rsid w:val="2CAD2E67"/>
    <w:rsid w:val="2D76092E"/>
    <w:rsid w:val="2DA94786"/>
    <w:rsid w:val="2DB43204"/>
    <w:rsid w:val="2E045F3A"/>
    <w:rsid w:val="2EB17DB1"/>
    <w:rsid w:val="2F3C35EB"/>
    <w:rsid w:val="2FC732DA"/>
    <w:rsid w:val="2FF4650B"/>
    <w:rsid w:val="300C36B8"/>
    <w:rsid w:val="30590093"/>
    <w:rsid w:val="30B023A9"/>
    <w:rsid w:val="32675E48"/>
    <w:rsid w:val="3353526D"/>
    <w:rsid w:val="341D359D"/>
    <w:rsid w:val="34D670AE"/>
    <w:rsid w:val="362607E1"/>
    <w:rsid w:val="36904273"/>
    <w:rsid w:val="37EC1A4A"/>
    <w:rsid w:val="381551E7"/>
    <w:rsid w:val="3A1951DA"/>
    <w:rsid w:val="3B651138"/>
    <w:rsid w:val="3DAE5EC2"/>
    <w:rsid w:val="3DF373A2"/>
    <w:rsid w:val="3E3F6F0E"/>
    <w:rsid w:val="3E597A5D"/>
    <w:rsid w:val="3F0455E9"/>
    <w:rsid w:val="3F0A7128"/>
    <w:rsid w:val="3F4F0FDF"/>
    <w:rsid w:val="3F6E7121"/>
    <w:rsid w:val="3FCE6863"/>
    <w:rsid w:val="401B3A04"/>
    <w:rsid w:val="40316936"/>
    <w:rsid w:val="40A86EA8"/>
    <w:rsid w:val="40E91911"/>
    <w:rsid w:val="41475F5C"/>
    <w:rsid w:val="416866E6"/>
    <w:rsid w:val="41A36AE0"/>
    <w:rsid w:val="42961F37"/>
    <w:rsid w:val="42FF382A"/>
    <w:rsid w:val="43190BBF"/>
    <w:rsid w:val="44741C78"/>
    <w:rsid w:val="44896D41"/>
    <w:rsid w:val="450D7972"/>
    <w:rsid w:val="451E392D"/>
    <w:rsid w:val="452A22D2"/>
    <w:rsid w:val="470B1C8F"/>
    <w:rsid w:val="47204E51"/>
    <w:rsid w:val="474D1CC3"/>
    <w:rsid w:val="48840733"/>
    <w:rsid w:val="48912668"/>
    <w:rsid w:val="48CB6E33"/>
    <w:rsid w:val="494871CB"/>
    <w:rsid w:val="496B3C54"/>
    <w:rsid w:val="498C65EA"/>
    <w:rsid w:val="4A3634C7"/>
    <w:rsid w:val="4B0223AE"/>
    <w:rsid w:val="4B441C14"/>
    <w:rsid w:val="4B9543EC"/>
    <w:rsid w:val="4BAC1DE4"/>
    <w:rsid w:val="4BEE3EF0"/>
    <w:rsid w:val="4CD13750"/>
    <w:rsid w:val="4DB232C6"/>
    <w:rsid w:val="4DCE3A17"/>
    <w:rsid w:val="4E7E71EB"/>
    <w:rsid w:val="4FE47986"/>
    <w:rsid w:val="4FEE65F2"/>
    <w:rsid w:val="4FF5172F"/>
    <w:rsid w:val="505C0D53"/>
    <w:rsid w:val="50F66BC0"/>
    <w:rsid w:val="51AB479B"/>
    <w:rsid w:val="51E2361F"/>
    <w:rsid w:val="53AB0485"/>
    <w:rsid w:val="53B37D6A"/>
    <w:rsid w:val="54DA192B"/>
    <w:rsid w:val="55101845"/>
    <w:rsid w:val="554F18E1"/>
    <w:rsid w:val="559C2BA0"/>
    <w:rsid w:val="55A56F25"/>
    <w:rsid w:val="55C2365D"/>
    <w:rsid w:val="56040497"/>
    <w:rsid w:val="561A3C9D"/>
    <w:rsid w:val="56F4062A"/>
    <w:rsid w:val="573E5A69"/>
    <w:rsid w:val="57D36B15"/>
    <w:rsid w:val="57ED6E3C"/>
    <w:rsid w:val="581D6170"/>
    <w:rsid w:val="58A07A49"/>
    <w:rsid w:val="58D86350"/>
    <w:rsid w:val="594420CF"/>
    <w:rsid w:val="5B7E682E"/>
    <w:rsid w:val="5C545E86"/>
    <w:rsid w:val="5CB65DF5"/>
    <w:rsid w:val="5CC46317"/>
    <w:rsid w:val="5CD81D44"/>
    <w:rsid w:val="5CFF492C"/>
    <w:rsid w:val="5D6A58E5"/>
    <w:rsid w:val="5DE03595"/>
    <w:rsid w:val="5F182CAA"/>
    <w:rsid w:val="5F3062DF"/>
    <w:rsid w:val="60932FCA"/>
    <w:rsid w:val="610B3E34"/>
    <w:rsid w:val="625D1449"/>
    <w:rsid w:val="62C67703"/>
    <w:rsid w:val="63014ABB"/>
    <w:rsid w:val="632E3A38"/>
    <w:rsid w:val="63312626"/>
    <w:rsid w:val="642E475A"/>
    <w:rsid w:val="6551285A"/>
    <w:rsid w:val="65A04B3F"/>
    <w:rsid w:val="65DC50E2"/>
    <w:rsid w:val="65F6550D"/>
    <w:rsid w:val="66264892"/>
    <w:rsid w:val="66706240"/>
    <w:rsid w:val="66AB73EF"/>
    <w:rsid w:val="670F2749"/>
    <w:rsid w:val="67F45E8A"/>
    <w:rsid w:val="680B4E0C"/>
    <w:rsid w:val="688568F3"/>
    <w:rsid w:val="68860251"/>
    <w:rsid w:val="68CC139E"/>
    <w:rsid w:val="68CD4B9F"/>
    <w:rsid w:val="69181BF9"/>
    <w:rsid w:val="693C6146"/>
    <w:rsid w:val="69B92119"/>
    <w:rsid w:val="6A0345E7"/>
    <w:rsid w:val="6A244C92"/>
    <w:rsid w:val="6AE0505D"/>
    <w:rsid w:val="6AF92627"/>
    <w:rsid w:val="6BC524A5"/>
    <w:rsid w:val="6C781DA8"/>
    <w:rsid w:val="6D723F67"/>
    <w:rsid w:val="6D8004DE"/>
    <w:rsid w:val="6E210ED5"/>
    <w:rsid w:val="6E5C0E9F"/>
    <w:rsid w:val="6EAF642F"/>
    <w:rsid w:val="6F316126"/>
    <w:rsid w:val="6F452422"/>
    <w:rsid w:val="6FAD0E86"/>
    <w:rsid w:val="70AC775D"/>
    <w:rsid w:val="71940950"/>
    <w:rsid w:val="720A4FCE"/>
    <w:rsid w:val="720D2669"/>
    <w:rsid w:val="72700AF4"/>
    <w:rsid w:val="72710C91"/>
    <w:rsid w:val="72905AB3"/>
    <w:rsid w:val="72A709E4"/>
    <w:rsid w:val="73992610"/>
    <w:rsid w:val="73D177DB"/>
    <w:rsid w:val="741165BF"/>
    <w:rsid w:val="74FA14E1"/>
    <w:rsid w:val="75F3598D"/>
    <w:rsid w:val="76AA0044"/>
    <w:rsid w:val="77617EA6"/>
    <w:rsid w:val="776B3A4B"/>
    <w:rsid w:val="77A62F30"/>
    <w:rsid w:val="77AD4800"/>
    <w:rsid w:val="78BC25D4"/>
    <w:rsid w:val="7986027E"/>
    <w:rsid w:val="79BA131F"/>
    <w:rsid w:val="7A356A48"/>
    <w:rsid w:val="7A4D66B1"/>
    <w:rsid w:val="7B011AEA"/>
    <w:rsid w:val="7B537186"/>
    <w:rsid w:val="7BF95D1F"/>
    <w:rsid w:val="7C3B2CF7"/>
    <w:rsid w:val="7C792C1C"/>
    <w:rsid w:val="7CE46339"/>
    <w:rsid w:val="7D494CE4"/>
    <w:rsid w:val="7D64088E"/>
    <w:rsid w:val="7D8F1563"/>
    <w:rsid w:val="7DFD6CBD"/>
    <w:rsid w:val="7E1B7AC3"/>
    <w:rsid w:val="7E724A16"/>
    <w:rsid w:val="7EBB5B2E"/>
    <w:rsid w:val="7F097BD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  <w:rPr>
      <w:rFonts w:cs="Times New Roman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13320</Words>
  <Characters>14401</Characters>
  <Lines>0</Lines>
  <Paragraphs>0</Paragraphs>
  <TotalTime>117</TotalTime>
  <ScaleCrop>false</ScaleCrop>
  <LinksUpToDate>false</LinksUpToDate>
  <CharactersWithSpaces>15100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2025-03-28T07:12:00Z</dcterms:created>
  <dc:creator>12477</dc:creator>
  <cp:lastModifiedBy>CC&amp;CB</cp:lastModifiedBy>
  <cp:lastPrinted>2025-04-22T00:50:00Z</cp:lastPrinted>
  <dcterms:modified xsi:type="dcterms:W3CDTF">2025-04-22T05:16:56Z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68916E0A05A04DC9B7C0861AE427E93B_13</vt:lpwstr>
  </property>
</Properties>
</file>