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560" w:lineRule="exact"/>
        <w:jc w:val="both"/>
        <w:textAlignment w:val="top"/>
        <w:outlineLvl w:val="0"/>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莆田市城厢区202</w:t>
      </w:r>
      <w:r>
        <w:rPr>
          <w:rFonts w:hint="default"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年公开招聘高级职称教师</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公告</w:t>
      </w:r>
    </w:p>
    <w:p>
      <w:pPr>
        <w:widowControl/>
        <w:shd w:val="clear" w:color="auto" w:fill="FFFFFF"/>
        <w:spacing w:line="520" w:lineRule="exact"/>
        <w:rPr>
          <w:rFonts w:hint="eastAsia" w:ascii="宋体" w:hAnsi="宋体" w:cs="宋体"/>
          <w:color w:val="000000" w:themeColor="text1"/>
          <w:kern w:val="0"/>
          <w:sz w:val="32"/>
          <w:szCs w:val="32"/>
          <w14:textFill>
            <w14:solidFill>
              <w14:schemeClr w14:val="tx1"/>
            </w14:solidFill>
          </w14:textFill>
        </w:rPr>
      </w:pPr>
    </w:p>
    <w:p>
      <w:pPr>
        <w:pStyle w:val="3"/>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为</w:t>
      </w:r>
      <w:r>
        <w:rPr>
          <w:rFonts w:hint="default" w:ascii="Times New Roman" w:hAnsi="Times New Roman" w:eastAsia="仿宋_GB2312" w:cs="Times New Roman"/>
          <w:bCs/>
          <w:color w:val="000000" w:themeColor="text1"/>
          <w:kern w:val="0"/>
          <w:sz w:val="32"/>
          <w:szCs w:val="32"/>
          <w14:textFill>
            <w14:solidFill>
              <w14:schemeClr w14:val="tx1"/>
            </w14:solidFill>
          </w14:textFill>
        </w:rPr>
        <w:t>推进人才强区战略</w:t>
      </w:r>
      <w:r>
        <w:rPr>
          <w:rFonts w:hint="default" w:ascii="Times New Roman" w:hAnsi="Times New Roman" w:eastAsia="仿宋_GB2312" w:cs="Times New Roman"/>
          <w:color w:val="000000" w:themeColor="text1"/>
          <w:sz w:val="32"/>
          <w:szCs w:val="32"/>
          <w14:textFill>
            <w14:solidFill>
              <w14:schemeClr w14:val="tx1"/>
            </w14:solidFill>
          </w14:textFill>
        </w:rPr>
        <w:t>，提高教师队伍整体素质，推进教育事业高质量发展</w:t>
      </w:r>
      <w:r>
        <w:rPr>
          <w:rFonts w:hint="default" w:ascii="Times New Roman" w:hAnsi="Times New Roman" w:eastAsia="仿宋_GB2312" w:cs="Times New Roman"/>
          <w:bCs/>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满足学校发展与教育教学需要，结合我市紧缺人才引进指导目录，</w:t>
      </w:r>
      <w:r>
        <w:rPr>
          <w:rFonts w:hint="default" w:ascii="Times New Roman" w:hAnsi="Times New Roman" w:eastAsia="仿宋_GB2312" w:cs="Times New Roman"/>
          <w:color w:val="000000" w:themeColor="text1"/>
          <w:sz w:val="32"/>
          <w:szCs w:val="32"/>
          <w14:textFill>
            <w14:solidFill>
              <w14:schemeClr w14:val="tx1"/>
            </w14:solidFill>
          </w14:textFill>
        </w:rPr>
        <w:t>城厢区</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拟公开招聘高级职称教师</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具体方案如下：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一、招聘对象</w:t>
      </w:r>
    </w:p>
    <w:p>
      <w:pPr>
        <w:pStyle w:val="3"/>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具有高级教师及以上职称的专业技术人员。</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outlineLvl w:val="0"/>
        <w:rPr>
          <w:rFonts w:hint="eastAsia" w:ascii="黑体" w:hAnsi="黑体" w:eastAsia="黑体" w:cs="黑体"/>
          <w:bCs/>
          <w:color w:val="000000" w:themeColor="text1"/>
          <w:kern w:val="0"/>
          <w:sz w:val="32"/>
          <w:szCs w:val="32"/>
          <w:lang w:eastAsia="zh-CN"/>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二、招聘岗位</w:t>
      </w:r>
      <w:r>
        <w:rPr>
          <w:rFonts w:hint="eastAsia" w:ascii="黑体" w:hAnsi="黑体" w:eastAsia="黑体" w:cs="黑体"/>
          <w:bCs/>
          <w:color w:val="000000" w:themeColor="text1"/>
          <w:kern w:val="0"/>
          <w:sz w:val="32"/>
          <w:szCs w:val="32"/>
          <w:lang w:eastAsia="zh-CN"/>
          <w14:textFill>
            <w14:solidFill>
              <w14:schemeClr w14:val="tx1"/>
            </w14:solidFill>
          </w14:textFill>
        </w:rPr>
        <w:t>及要求</w:t>
      </w:r>
    </w:p>
    <w:tbl>
      <w:tblPr>
        <w:tblStyle w:val="7"/>
        <w:tblW w:w="10154" w:type="dxa"/>
        <w:jc w:val="center"/>
        <w:tblLayout w:type="fixed"/>
        <w:tblCellMar>
          <w:top w:w="15" w:type="dxa"/>
          <w:left w:w="15" w:type="dxa"/>
          <w:bottom w:w="15" w:type="dxa"/>
          <w:right w:w="15" w:type="dxa"/>
        </w:tblCellMar>
      </w:tblPr>
      <w:tblGrid>
        <w:gridCol w:w="484"/>
        <w:gridCol w:w="685"/>
        <w:gridCol w:w="720"/>
        <w:gridCol w:w="2370"/>
        <w:gridCol w:w="630"/>
        <w:gridCol w:w="615"/>
        <w:gridCol w:w="1203"/>
        <w:gridCol w:w="1540"/>
        <w:gridCol w:w="1907"/>
      </w:tblGrid>
      <w:tr>
        <w:tblPrEx>
          <w:tblCellMar>
            <w:top w:w="15" w:type="dxa"/>
            <w:left w:w="15" w:type="dxa"/>
            <w:bottom w:w="15" w:type="dxa"/>
            <w:right w:w="15" w:type="dxa"/>
          </w:tblCellMar>
        </w:tblPrEx>
        <w:trPr>
          <w:trHeight w:val="950"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kern w:val="0"/>
                <w:sz w:val="24"/>
                <w:szCs w:val="24"/>
                <w14:textFill>
                  <w14:solidFill>
                    <w14:schemeClr w14:val="tx1"/>
                  </w14:solidFill>
                </w14:textFill>
              </w:rPr>
              <w:t>序</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kern w:val="0"/>
                <w:sz w:val="24"/>
                <w:szCs w:val="24"/>
                <w14:textFill>
                  <w14:solidFill>
                    <w14:schemeClr w14:val="tx1"/>
                  </w14:solidFill>
                </w14:textFill>
              </w:rPr>
              <w:t>号</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kern w:val="0"/>
                <w:sz w:val="24"/>
                <w:szCs w:val="24"/>
                <w14:textFill>
                  <w14:solidFill>
                    <w14:schemeClr w14:val="tx1"/>
                  </w14:solidFill>
                </w14:textFill>
              </w:rPr>
              <w:t>招聘</w:t>
            </w:r>
          </w:p>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kern w:val="0"/>
                <w:sz w:val="24"/>
                <w:szCs w:val="24"/>
                <w14:textFill>
                  <w14:solidFill>
                    <w14:schemeClr w14:val="tx1"/>
                  </w14:solidFill>
                </w14:textFill>
              </w:rPr>
              <w:t>岗位</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themeColor="text1"/>
                <w:spacing w:val="0"/>
                <w:w w:val="100"/>
                <w:kern w:val="0"/>
                <w:sz w:val="24"/>
                <w:szCs w:val="24"/>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kern w:val="0"/>
                <w:sz w:val="24"/>
                <w:szCs w:val="24"/>
                <w:lang w:eastAsia="zh-CN"/>
                <w14:textFill>
                  <w14:solidFill>
                    <w14:schemeClr w14:val="tx1"/>
                  </w14:solidFill>
                </w14:textFill>
              </w:rPr>
              <w:t>招聘人数</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themeColor="text1"/>
                <w:spacing w:val="0"/>
                <w:w w:val="100"/>
                <w:sz w:val="24"/>
                <w:szCs w:val="24"/>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kern w:val="0"/>
                <w:sz w:val="24"/>
                <w:szCs w:val="24"/>
                <w14:textFill>
                  <w14:solidFill>
                    <w14:schemeClr w14:val="tx1"/>
                  </w14:solidFill>
                </w14:textFill>
              </w:rPr>
              <w:t>招聘学校</w:t>
            </w:r>
          </w:p>
        </w:tc>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kern w:val="0"/>
                <w:sz w:val="24"/>
                <w:szCs w:val="24"/>
                <w:lang w:eastAsia="zh-CN"/>
                <w14:textFill>
                  <w14:solidFill>
                    <w14:schemeClr w14:val="tx1"/>
                  </w14:solidFill>
                </w14:textFill>
              </w:rPr>
              <w:t>性别</w:t>
            </w:r>
          </w:p>
        </w:tc>
        <w:tc>
          <w:tcPr>
            <w:tcW w:w="6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themeColor="text1"/>
                <w:spacing w:val="0"/>
                <w:w w:val="100"/>
                <w:kern w:val="0"/>
                <w:sz w:val="24"/>
                <w:szCs w:val="24"/>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kern w:val="0"/>
                <w:sz w:val="24"/>
                <w:szCs w:val="24"/>
                <w:lang w:eastAsia="zh-CN"/>
                <w14:textFill>
                  <w14:solidFill>
                    <w14:schemeClr w14:val="tx1"/>
                  </w14:solidFill>
                </w14:textFill>
              </w:rPr>
              <w:t>户籍</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default" w:ascii="仿宋_GB2312" w:hAnsi="仿宋_GB2312" w:eastAsia="仿宋_GB2312" w:cs="仿宋_GB2312"/>
                <w:b w:val="0"/>
                <w:bCs w:val="0"/>
                <w:i w:val="0"/>
                <w:caps w:val="0"/>
                <w:color w:val="000000" w:themeColor="text1"/>
                <w:spacing w:val="0"/>
                <w:w w:val="100"/>
                <w:kern w:val="0"/>
                <w:sz w:val="24"/>
                <w:szCs w:val="24"/>
                <w:lang w:val="en-US"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kern w:val="0"/>
                <w:sz w:val="24"/>
                <w:szCs w:val="24"/>
                <w:lang w:val="en-US" w:eastAsia="zh-CN"/>
                <w14:textFill>
                  <w14:solidFill>
                    <w14:schemeClr w14:val="tx1"/>
                  </w14:solidFill>
                </w14:textFill>
              </w:rPr>
              <w:t>学历要求</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themeColor="text1"/>
                <w:spacing w:val="0"/>
                <w:w w:val="100"/>
                <w:sz w:val="24"/>
                <w:szCs w:val="24"/>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kern w:val="0"/>
                <w:sz w:val="24"/>
                <w:szCs w:val="24"/>
                <w14:textFill>
                  <w14:solidFill>
                    <w14:schemeClr w14:val="tx1"/>
                  </w14:solidFill>
                </w14:textFill>
              </w:rPr>
              <w:t>专业</w:t>
            </w:r>
            <w:r>
              <w:rPr>
                <w:rFonts w:hint="eastAsia" w:ascii="仿宋_GB2312" w:hAnsi="仿宋_GB2312" w:eastAsia="仿宋_GB2312" w:cs="仿宋_GB2312"/>
                <w:b w:val="0"/>
                <w:bCs w:val="0"/>
                <w:i w:val="0"/>
                <w:caps w:val="0"/>
                <w:color w:val="000000" w:themeColor="text1"/>
                <w:spacing w:val="0"/>
                <w:w w:val="100"/>
                <w:kern w:val="0"/>
                <w:sz w:val="24"/>
                <w:szCs w:val="24"/>
                <w:lang w:eastAsia="zh-CN"/>
                <w14:textFill>
                  <w14:solidFill>
                    <w14:schemeClr w14:val="tx1"/>
                  </w14:solidFill>
                </w14:textFill>
              </w:rPr>
              <w:t>要求</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300" w:lineRule="exact"/>
              <w:jc w:val="center"/>
              <w:textAlignment w:val="center"/>
              <w:rPr>
                <w:rFonts w:hint="eastAsia" w:ascii="仿宋_GB2312" w:hAnsi="仿宋_GB2312" w:eastAsia="仿宋_GB2312" w:cs="仿宋_GB2312"/>
                <w:b w:val="0"/>
                <w:bCs w:val="0"/>
                <w:i w:val="0"/>
                <w:caps w:val="0"/>
                <w:color w:val="000000" w:themeColor="text1"/>
                <w:spacing w:val="0"/>
                <w:w w:val="100"/>
                <w:sz w:val="24"/>
                <w:szCs w:val="24"/>
                <w:lang w:eastAsia="zh-CN"/>
                <w14:textFill>
                  <w14:solidFill>
                    <w14:schemeClr w14:val="tx1"/>
                  </w14:solidFill>
                </w14:textFill>
              </w:rPr>
            </w:pPr>
            <w:r>
              <w:rPr>
                <w:rFonts w:hint="eastAsia" w:ascii="仿宋_GB2312" w:hAnsi="仿宋_GB2312" w:eastAsia="仿宋_GB2312" w:cs="仿宋_GB2312"/>
                <w:b w:val="0"/>
                <w:bCs w:val="0"/>
                <w:i w:val="0"/>
                <w:caps w:val="0"/>
                <w:color w:val="000000" w:themeColor="text1"/>
                <w:spacing w:val="0"/>
                <w:w w:val="100"/>
                <w:sz w:val="24"/>
                <w:szCs w:val="24"/>
                <w:lang w:eastAsia="zh-CN"/>
                <w14:textFill>
                  <w14:solidFill>
                    <w14:schemeClr w14:val="tx1"/>
                  </w14:solidFill>
                </w14:textFill>
              </w:rPr>
              <w:t>教师资格</w:t>
            </w:r>
          </w:p>
        </w:tc>
      </w:tr>
      <w:tr>
        <w:tblPrEx>
          <w:tblCellMar>
            <w:top w:w="15" w:type="dxa"/>
            <w:left w:w="15" w:type="dxa"/>
            <w:bottom w:w="15" w:type="dxa"/>
            <w:right w:w="15" w:type="dxa"/>
          </w:tblCellMar>
        </w:tblPrEx>
        <w:trPr>
          <w:trHeight w:val="1112"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1</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center"/>
              <w:rPr>
                <w:rFonts w:hint="default"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初中语文</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default"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3</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113" w:rightChars="0" w:firstLine="240" w:firstLineChars="100"/>
              <w:jc w:val="both"/>
              <w:textAlignment w:val="center"/>
              <w:rPr>
                <w:rFonts w:hint="default"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莆田第五中学1人、</w:t>
            </w:r>
            <w:r>
              <w:rPr>
                <w:rFonts w:hint="eastAsia" w:ascii="仿宋_GB2312" w:hAnsi="仿宋_GB2312" w:eastAsia="仿宋_GB2312" w:cs="仿宋_GB2312"/>
                <w:b w:val="0"/>
                <w:i w:val="0"/>
                <w:caps w:val="0"/>
                <w:color w:val="000000" w:themeColor="text1"/>
                <w:spacing w:val="0"/>
                <w:w w:val="100"/>
                <w:sz w:val="24"/>
                <w:szCs w:val="24"/>
                <w:lang w:eastAsia="zh-CN"/>
                <w14:textFill>
                  <w14:solidFill>
                    <w14:schemeClr w14:val="tx1"/>
                  </w14:solidFill>
                </w14:textFill>
              </w:rPr>
              <w:t>城厢区南门学校</w:t>
            </w: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木兰校区2人</w:t>
            </w:r>
          </w:p>
        </w:tc>
        <w:tc>
          <w:tcPr>
            <w:tcW w:w="630" w:type="dxa"/>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default"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不限</w:t>
            </w:r>
          </w:p>
        </w:tc>
        <w:tc>
          <w:tcPr>
            <w:tcW w:w="615" w:type="dxa"/>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不限</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default"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本科及以上</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中国语言文学类</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相应学科初级中学及以上教师资格证</w:t>
            </w:r>
          </w:p>
        </w:tc>
      </w:tr>
      <w:tr>
        <w:tblPrEx>
          <w:tblCellMar>
            <w:top w:w="15" w:type="dxa"/>
            <w:left w:w="15" w:type="dxa"/>
            <w:bottom w:w="15" w:type="dxa"/>
            <w:right w:w="15" w:type="dxa"/>
          </w:tblCellMar>
        </w:tblPrEx>
        <w:trPr>
          <w:trHeight w:val="1004"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2</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初中数学</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3</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113" w:rightChars="0" w:firstLine="240" w:firstLineChars="100"/>
              <w:jc w:val="both"/>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莆田第五中学1人、</w:t>
            </w:r>
            <w:r>
              <w:rPr>
                <w:rFonts w:hint="eastAsia" w:ascii="仿宋_GB2312" w:hAnsi="仿宋_GB2312" w:eastAsia="仿宋_GB2312" w:cs="仿宋_GB2312"/>
                <w:b w:val="0"/>
                <w:i w:val="0"/>
                <w:caps w:val="0"/>
                <w:color w:val="000000" w:themeColor="text1"/>
                <w:spacing w:val="0"/>
                <w:w w:val="100"/>
                <w:sz w:val="24"/>
                <w:szCs w:val="24"/>
                <w:lang w:eastAsia="zh-CN"/>
                <w14:textFill>
                  <w14:solidFill>
                    <w14:schemeClr w14:val="tx1"/>
                  </w14:solidFill>
                </w14:textFill>
              </w:rPr>
              <w:t>城厢区南门学校</w:t>
            </w: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木兰校区2人</w:t>
            </w:r>
          </w:p>
        </w:tc>
        <w:tc>
          <w:tcPr>
            <w:tcW w:w="630" w:type="dxa"/>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不限</w:t>
            </w:r>
          </w:p>
        </w:tc>
        <w:tc>
          <w:tcPr>
            <w:tcW w:w="615" w:type="dxa"/>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不限</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本科及以上</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数学类、数学教育</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相应学科初级中学及以上教师资格证</w:t>
            </w:r>
          </w:p>
        </w:tc>
      </w:tr>
      <w:tr>
        <w:tblPrEx>
          <w:tblCellMar>
            <w:top w:w="15" w:type="dxa"/>
            <w:left w:w="15" w:type="dxa"/>
            <w:bottom w:w="15" w:type="dxa"/>
            <w:right w:w="15" w:type="dxa"/>
          </w:tblCellMar>
        </w:tblPrEx>
        <w:trPr>
          <w:trHeight w:val="1156"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themeColor="text1"/>
                <w:spacing w:val="0"/>
                <w:w w:val="100"/>
                <w:kern w:val="0"/>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0"/>
                <w:sz w:val="24"/>
                <w:szCs w:val="24"/>
                <w:lang w:val="en-US" w:eastAsia="zh-CN" w:bidi="ar-SA"/>
                <w14:textFill>
                  <w14:solidFill>
                    <w14:schemeClr w14:val="tx1"/>
                  </w14:solidFill>
                </w14:textFill>
              </w:rPr>
              <w:t>3</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初中英语</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3</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113" w:rightChars="0" w:firstLine="240" w:firstLineChars="100"/>
              <w:jc w:val="both"/>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莆田第五中学1人、</w:t>
            </w:r>
            <w:r>
              <w:rPr>
                <w:rFonts w:hint="eastAsia" w:ascii="仿宋_GB2312" w:hAnsi="仿宋_GB2312" w:eastAsia="仿宋_GB2312" w:cs="仿宋_GB2312"/>
                <w:b w:val="0"/>
                <w:i w:val="0"/>
                <w:caps w:val="0"/>
                <w:color w:val="000000" w:themeColor="text1"/>
                <w:spacing w:val="0"/>
                <w:w w:val="100"/>
                <w:sz w:val="24"/>
                <w:szCs w:val="24"/>
                <w:lang w:eastAsia="zh-CN"/>
                <w14:textFill>
                  <w14:solidFill>
                    <w14:schemeClr w14:val="tx1"/>
                  </w14:solidFill>
                </w14:textFill>
              </w:rPr>
              <w:t>城厢区南门学校</w:t>
            </w: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木兰校区2人</w:t>
            </w:r>
          </w:p>
        </w:tc>
        <w:tc>
          <w:tcPr>
            <w:tcW w:w="630" w:type="dxa"/>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不限</w:t>
            </w:r>
          </w:p>
        </w:tc>
        <w:tc>
          <w:tcPr>
            <w:tcW w:w="615" w:type="dxa"/>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不限</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本科及以上</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default"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外国语言文学类英语相关专业</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相应学科初级中学及以上教师资格证</w:t>
            </w:r>
          </w:p>
        </w:tc>
      </w:tr>
      <w:tr>
        <w:tblPrEx>
          <w:tblCellMar>
            <w:top w:w="15" w:type="dxa"/>
            <w:left w:w="15" w:type="dxa"/>
            <w:bottom w:w="15" w:type="dxa"/>
            <w:right w:w="15" w:type="dxa"/>
          </w:tblCellMar>
        </w:tblPrEx>
        <w:trPr>
          <w:trHeight w:val="1156"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themeColor="text1"/>
                <w:spacing w:val="0"/>
                <w:w w:val="100"/>
                <w:kern w:val="0"/>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0"/>
                <w:sz w:val="24"/>
                <w:szCs w:val="24"/>
                <w:lang w:val="en-US" w:eastAsia="zh-CN" w:bidi="ar-SA"/>
                <w14:textFill>
                  <w14:solidFill>
                    <w14:schemeClr w14:val="tx1"/>
                  </w14:solidFill>
                </w14:textFill>
              </w:rPr>
              <w:t>4</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初中物理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2</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113" w:rightChars="0" w:firstLine="240" w:firstLineChars="100"/>
              <w:jc w:val="both"/>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eastAsia="zh-CN"/>
                <w14:textFill>
                  <w14:solidFill>
                    <w14:schemeClr w14:val="tx1"/>
                  </w14:solidFill>
                </w14:textFill>
              </w:rPr>
              <w:t>城厢区南门学校</w:t>
            </w: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木兰校区2人</w:t>
            </w:r>
          </w:p>
        </w:tc>
        <w:tc>
          <w:tcPr>
            <w:tcW w:w="630" w:type="dxa"/>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不限</w:t>
            </w:r>
          </w:p>
        </w:tc>
        <w:tc>
          <w:tcPr>
            <w:tcW w:w="615" w:type="dxa"/>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不限</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本科及以上</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default"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物理学类</w:t>
            </w: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、物理教育</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相应学科初级中学及以上教师资格证</w:t>
            </w:r>
          </w:p>
        </w:tc>
      </w:tr>
      <w:tr>
        <w:tblPrEx>
          <w:tblCellMar>
            <w:top w:w="15" w:type="dxa"/>
            <w:left w:w="15" w:type="dxa"/>
            <w:bottom w:w="15" w:type="dxa"/>
            <w:right w:w="15" w:type="dxa"/>
          </w:tblCellMar>
        </w:tblPrEx>
        <w:trPr>
          <w:trHeight w:val="1089"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themeColor="text1"/>
                <w:spacing w:val="0"/>
                <w:w w:val="100"/>
                <w:kern w:val="0"/>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0"/>
                <w:sz w:val="24"/>
                <w:szCs w:val="24"/>
                <w:lang w:val="en-US" w:eastAsia="zh-CN" w:bidi="ar-SA"/>
                <w14:textFill>
                  <w14:solidFill>
                    <w14:schemeClr w14:val="tx1"/>
                  </w14:solidFill>
                </w14:textFill>
              </w:rPr>
              <w:t>5</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初中历史</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1</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113" w:rightChars="0" w:firstLine="240" w:firstLineChars="100"/>
              <w:jc w:val="both"/>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eastAsia="zh-CN"/>
                <w14:textFill>
                  <w14:solidFill>
                    <w14:schemeClr w14:val="tx1"/>
                  </w14:solidFill>
                </w14:textFill>
              </w:rPr>
              <w:t>城厢区南门学校</w:t>
            </w: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木兰校区1人</w:t>
            </w:r>
          </w:p>
        </w:tc>
        <w:tc>
          <w:tcPr>
            <w:tcW w:w="630" w:type="dxa"/>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不限</w:t>
            </w:r>
          </w:p>
        </w:tc>
        <w:tc>
          <w:tcPr>
            <w:tcW w:w="615" w:type="dxa"/>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不限</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本科及以上</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default"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历史学类</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相应学科初级中学及以上教师资格证</w:t>
            </w:r>
          </w:p>
        </w:tc>
      </w:tr>
      <w:tr>
        <w:tblPrEx>
          <w:tblCellMar>
            <w:top w:w="15" w:type="dxa"/>
            <w:left w:w="15" w:type="dxa"/>
            <w:bottom w:w="15" w:type="dxa"/>
            <w:right w:w="15" w:type="dxa"/>
          </w:tblCellMar>
        </w:tblPrEx>
        <w:trPr>
          <w:trHeight w:val="1336"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themeColor="text1"/>
                <w:spacing w:val="0"/>
                <w:w w:val="100"/>
                <w:kern w:val="0"/>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0"/>
                <w:sz w:val="24"/>
                <w:szCs w:val="24"/>
                <w:lang w:val="en-US" w:eastAsia="zh-CN" w:bidi="ar-SA"/>
                <w14:textFill>
                  <w14:solidFill>
                    <w14:schemeClr w14:val="tx1"/>
                  </w14:solidFill>
                </w14:textFill>
              </w:rPr>
              <w:t>6</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center"/>
              <w:rPr>
                <w:rFonts w:hint="default"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初中道德与法治</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1</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113" w:rightChars="0" w:firstLine="240" w:firstLineChars="100"/>
              <w:jc w:val="both"/>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eastAsia="zh-CN"/>
                <w14:textFill>
                  <w14:solidFill>
                    <w14:schemeClr w14:val="tx1"/>
                  </w14:solidFill>
                </w14:textFill>
              </w:rPr>
              <w:t>城厢区南门学校</w:t>
            </w: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木兰校区1人</w:t>
            </w:r>
          </w:p>
        </w:tc>
        <w:tc>
          <w:tcPr>
            <w:tcW w:w="630" w:type="dxa"/>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不限</w:t>
            </w:r>
          </w:p>
        </w:tc>
        <w:tc>
          <w:tcPr>
            <w:tcW w:w="615" w:type="dxa"/>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不限</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本科及以上</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政治学类、马克思主义理论类</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相应学科初级中学及以上教师资格证</w:t>
            </w:r>
          </w:p>
        </w:tc>
      </w:tr>
      <w:tr>
        <w:tblPrEx>
          <w:tblCellMar>
            <w:top w:w="15" w:type="dxa"/>
            <w:left w:w="15" w:type="dxa"/>
            <w:bottom w:w="15" w:type="dxa"/>
            <w:right w:w="15" w:type="dxa"/>
          </w:tblCellMar>
        </w:tblPrEx>
        <w:trPr>
          <w:trHeight w:val="1156"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themeColor="text1"/>
                <w:spacing w:val="0"/>
                <w:w w:val="100"/>
                <w:kern w:val="0"/>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0"/>
                <w:sz w:val="24"/>
                <w:szCs w:val="24"/>
                <w:lang w:val="en-US" w:eastAsia="zh-CN" w:bidi="ar-SA"/>
                <w14:textFill>
                  <w14:solidFill>
                    <w14:schemeClr w14:val="tx1"/>
                  </w14:solidFill>
                </w14:textFill>
              </w:rPr>
              <w:t>7</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初中生物</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1</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113" w:rightChars="0" w:firstLine="240" w:firstLineChars="100"/>
              <w:jc w:val="both"/>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eastAsia="zh-CN"/>
                <w14:textFill>
                  <w14:solidFill>
                    <w14:schemeClr w14:val="tx1"/>
                  </w14:solidFill>
                </w14:textFill>
              </w:rPr>
              <w:t>城厢区南门学校</w:t>
            </w: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木兰校区1人</w:t>
            </w:r>
          </w:p>
        </w:tc>
        <w:tc>
          <w:tcPr>
            <w:tcW w:w="630" w:type="dxa"/>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不限</w:t>
            </w:r>
          </w:p>
        </w:tc>
        <w:tc>
          <w:tcPr>
            <w:tcW w:w="615" w:type="dxa"/>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不限</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本科及以上</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default"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生物科学类</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相应学科初级中学及以上教师资格证</w:t>
            </w:r>
          </w:p>
        </w:tc>
      </w:tr>
      <w:tr>
        <w:tblPrEx>
          <w:tblCellMar>
            <w:top w:w="15" w:type="dxa"/>
            <w:left w:w="15" w:type="dxa"/>
            <w:bottom w:w="15" w:type="dxa"/>
            <w:right w:w="15" w:type="dxa"/>
          </w:tblCellMar>
        </w:tblPrEx>
        <w:trPr>
          <w:trHeight w:val="1076" w:hRule="atLeast"/>
          <w:jc w:val="center"/>
        </w:trPr>
        <w:tc>
          <w:tcPr>
            <w:tcW w:w="484" w:type="dxa"/>
            <w:tcBorders>
              <w:top w:val="single" w:color="auto" w:sz="4" w:space="0"/>
              <w:left w:val="single" w:color="auto" w:sz="4" w:space="0"/>
              <w:bottom w:val="single" w:color="auto" w:sz="4" w:space="0"/>
              <w:right w:val="single" w:color="auto" w:sz="4" w:space="0"/>
            </w:tcBorders>
            <w:noWrap w:val="0"/>
            <w:vAlign w:val="center"/>
          </w:tcPr>
          <w:p>
            <w:pPr>
              <w:widowControl/>
              <w:snapToGrid/>
              <w:spacing w:before="0" w:beforeAutospacing="0" w:after="0" w:afterAutospacing="0" w:line="240" w:lineRule="auto"/>
              <w:jc w:val="center"/>
              <w:textAlignment w:val="center"/>
              <w:rPr>
                <w:rFonts w:hint="eastAsia" w:ascii="仿宋_GB2312" w:hAnsi="仿宋_GB2312" w:eastAsia="仿宋_GB2312" w:cs="仿宋_GB2312"/>
                <w:b w:val="0"/>
                <w:i w:val="0"/>
                <w:caps w:val="0"/>
                <w:color w:val="000000" w:themeColor="text1"/>
                <w:spacing w:val="0"/>
                <w:w w:val="100"/>
                <w:kern w:val="0"/>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kern w:val="0"/>
                <w:sz w:val="24"/>
                <w:szCs w:val="24"/>
                <w:lang w:val="en-US" w:eastAsia="zh-CN" w:bidi="ar-SA"/>
                <w14:textFill>
                  <w14:solidFill>
                    <w14:schemeClr w14:val="tx1"/>
                  </w14:solidFill>
                </w14:textFill>
              </w:rPr>
              <w:t>8</w:t>
            </w:r>
          </w:p>
        </w:tc>
        <w:tc>
          <w:tcPr>
            <w:tcW w:w="6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Autospacing="0" w:after="0" w:afterAutospacing="0" w:line="320" w:lineRule="exact"/>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初中地理</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default"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1</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right="113" w:rightChars="0" w:firstLine="240" w:firstLineChars="100"/>
              <w:jc w:val="both"/>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eastAsia="zh-CN"/>
                <w14:textFill>
                  <w14:solidFill>
                    <w14:schemeClr w14:val="tx1"/>
                  </w14:solidFill>
                </w14:textFill>
              </w:rPr>
              <w:t>城厢区南门学校</w:t>
            </w: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木兰校区1人</w:t>
            </w:r>
          </w:p>
        </w:tc>
        <w:tc>
          <w:tcPr>
            <w:tcW w:w="630" w:type="dxa"/>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不限</w:t>
            </w:r>
          </w:p>
        </w:tc>
        <w:tc>
          <w:tcPr>
            <w:tcW w:w="615" w:type="dxa"/>
            <w:tcBorders>
              <w:top w:val="single" w:color="auto" w:sz="4" w:space="0"/>
              <w:left w:val="single" w:color="auto" w:sz="4" w:space="0"/>
              <w:bottom w:val="single" w:color="auto" w:sz="4" w:space="0"/>
              <w:right w:val="single" w:color="auto" w:sz="4" w:space="0"/>
            </w:tcBorders>
            <w:noWrap w:val="0"/>
            <w:textDirection w:val="tbLrV"/>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不限</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kern w:val="2"/>
                <w:sz w:val="24"/>
                <w:szCs w:val="24"/>
                <w:lang w:val="en-US" w:eastAsia="zh-CN" w:bidi="ar-SA"/>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本科及以上</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地理科学类、地理教育</w:t>
            </w:r>
          </w:p>
        </w:tc>
        <w:tc>
          <w:tcPr>
            <w:tcW w:w="19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exact"/>
              <w:ind w:left="113" w:leftChars="0" w:right="113" w:rightChars="0"/>
              <w:jc w:val="center"/>
              <w:textAlignment w:val="cente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pPr>
            <w:r>
              <w:rPr>
                <w:rFonts w:hint="eastAsia" w:ascii="仿宋_GB2312" w:hAnsi="仿宋_GB2312" w:eastAsia="仿宋_GB2312" w:cs="仿宋_GB2312"/>
                <w:b w:val="0"/>
                <w:i w:val="0"/>
                <w:caps w:val="0"/>
                <w:color w:val="000000" w:themeColor="text1"/>
                <w:spacing w:val="0"/>
                <w:w w:val="100"/>
                <w:sz w:val="24"/>
                <w:szCs w:val="24"/>
                <w:lang w:val="en-US" w:eastAsia="zh-CN"/>
                <w14:textFill>
                  <w14:solidFill>
                    <w14:schemeClr w14:val="tx1"/>
                  </w14:solidFill>
                </w14:textFill>
              </w:rPr>
              <w:t>相应学科初级中学及以上教师资格证</w:t>
            </w:r>
          </w:p>
        </w:tc>
      </w:tr>
      <w:tr>
        <w:tblPrEx>
          <w:tblCellMar>
            <w:top w:w="15" w:type="dxa"/>
            <w:left w:w="15" w:type="dxa"/>
            <w:bottom w:w="15" w:type="dxa"/>
            <w:right w:w="15" w:type="dxa"/>
          </w:tblCellMar>
        </w:tblPrEx>
        <w:trPr>
          <w:trHeight w:val="911" w:hRule="atLeast"/>
          <w:jc w:val="center"/>
        </w:trPr>
        <w:tc>
          <w:tcPr>
            <w:tcW w:w="10154" w:type="dxa"/>
            <w:gridSpan w:val="9"/>
            <w:tcBorders>
              <w:top w:val="single" w:color="auto" w:sz="4" w:space="0"/>
              <w:left w:val="single" w:color="auto" w:sz="4" w:space="0"/>
              <w:bottom w:val="single" w:color="auto" w:sz="4" w:space="0"/>
              <w:right w:val="single" w:color="auto" w:sz="4" w:space="0"/>
            </w:tcBorders>
            <w:noWrap w:val="0"/>
            <w:vAlign w:val="center"/>
          </w:tcPr>
          <w:p>
            <w:pPr>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1.专业设定依据《福建省2026年度考试录用公务员专业指导目录》；</w:t>
            </w:r>
          </w:p>
          <w:p>
            <w:pPr>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2.学历要求是指国家承认的列入国民教育序列的学历。</w:t>
            </w:r>
          </w:p>
          <w:p>
            <w:pPr>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jc w:val="left"/>
              <w:textAlignment w:val="center"/>
              <w:rPr>
                <w:rFonts w:hint="eastAsia" w:ascii="仿宋_GB2312" w:hAnsi="仿宋_GB2312" w:eastAsia="仿宋_GB2312" w:cs="仿宋_GB2312"/>
                <w:color w:val="000000" w:themeColor="text1"/>
                <w:sz w:val="24"/>
                <w:shd w:val="clear" w:color="auto" w:fill="FEFEFE"/>
                <w:lang w:val="en-US" w:eastAsia="zh-CN"/>
                <w14:textFill>
                  <w14:solidFill>
                    <w14:schemeClr w14:val="tx1"/>
                  </w14:solidFill>
                </w14:textFill>
              </w:rPr>
            </w:pPr>
          </w:p>
        </w:tc>
      </w:tr>
    </w:tbl>
    <w:p>
      <w:pPr>
        <w:pStyle w:val="3"/>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其他条件要求：</w:t>
      </w:r>
    </w:p>
    <w:p>
      <w:pPr>
        <w:pStyle w:val="3"/>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具有中华人民共和国国籍，拥护中华人民共和国宪法，拥护中国共产党领导和社会主义制度</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具有良好的政治素质和道德品行</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具有正常履行职责的身体条件和心理素质</w:t>
      </w:r>
      <w:r>
        <w:rPr>
          <w:rFonts w:hint="eastAsia"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具备符合岗位要求的资格条件和工作能力</w:t>
      </w:r>
      <w:r>
        <w:rPr>
          <w:rFonts w:hint="eastAsia" w:eastAsia="仿宋_GB2312" w:cs="Times New Roman"/>
          <w:color w:val="000000" w:themeColor="text1"/>
          <w:sz w:val="32"/>
          <w:szCs w:val="32"/>
          <w:lang w:val="en-US" w:eastAsia="zh-CN"/>
          <w14:textFill>
            <w14:solidFill>
              <w14:schemeClr w14:val="tx1"/>
            </w14:solidFill>
          </w14:textFill>
        </w:rPr>
        <w:t>；</w:t>
      </w:r>
    </w:p>
    <w:p>
      <w:pPr>
        <w:pStyle w:val="3"/>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本次招聘岗位要求的毕业证、教师资格证等资格生效时间有关的条件，截止时间均为报名开始第一日。</w:t>
      </w:r>
    </w:p>
    <w:p>
      <w:pPr>
        <w:pStyle w:val="3"/>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年龄</w:t>
      </w:r>
      <w:r>
        <w:rPr>
          <w:rFonts w:hint="default" w:ascii="楷体_GB2312" w:hAnsi="楷体_GB2312" w:eastAsia="楷体_GB2312" w:cs="楷体_GB2312"/>
          <w:color w:val="000000" w:themeColor="text1"/>
          <w:sz w:val="32"/>
          <w:szCs w:val="32"/>
          <w:lang w:val="en-US" w:eastAsia="zh-CN"/>
          <w14:textFill>
            <w14:solidFill>
              <w14:schemeClr w14:val="tx1"/>
            </w14:solidFill>
          </w14:textFill>
        </w:rPr>
        <w:t>18</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周岁以上、</w:t>
      </w:r>
      <w:r>
        <w:rPr>
          <w:rFonts w:hint="default" w:ascii="楷体_GB2312" w:hAnsi="楷体_GB2312" w:eastAsia="楷体_GB2312" w:cs="楷体_GB2312"/>
          <w:color w:val="000000" w:themeColor="text1"/>
          <w:sz w:val="32"/>
          <w:szCs w:val="32"/>
          <w:lang w:val="en-US" w:eastAsia="zh-CN"/>
          <w14:textFill>
            <w14:solidFill>
              <w14:schemeClr w14:val="tx1"/>
            </w14:solidFill>
          </w14:textFill>
        </w:rPr>
        <w:t>45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周岁以下</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报名开始第一日起算</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pPr>
        <w:pStyle w:val="3"/>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楷体_GB2312" w:hAnsi="楷体_GB2312" w:eastAsia="楷体_GB2312" w:cs="楷体_GB2312"/>
          <w:color w:val="000000" w:themeColor="text1"/>
          <w:sz w:val="32"/>
          <w:szCs w:val="32"/>
          <w:lang w:val="en-US" w:eastAsia="zh-CN"/>
          <w14:textFill>
            <w14:solidFill>
              <w14:schemeClr w14:val="tx1"/>
            </w14:solidFill>
          </w14:textFill>
        </w:rPr>
        <w:t>4</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至少有</w:t>
      </w:r>
      <w:r>
        <w:rPr>
          <w:rFonts w:hint="default" w:ascii="楷体_GB2312" w:hAnsi="楷体_GB2312" w:eastAsia="楷体_GB2312" w:cs="楷体_GB2312"/>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初中或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高中教学工作经历</w:t>
      </w:r>
      <w:r>
        <w:rPr>
          <w:rFonts w:hint="eastAsia" w:eastAsia="仿宋_GB2312" w:cs="Times New Roman"/>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报考者</w:t>
      </w:r>
      <w:r>
        <w:rPr>
          <w:rFonts w:hint="eastAsia" w:ascii="仿宋_GB2312" w:hAnsi="仿宋_GB2312" w:eastAsia="仿宋_GB2312" w:cs="仿宋_GB2312"/>
          <w:i w:val="0"/>
          <w:iCs w:val="0"/>
          <w:caps w:val="0"/>
          <w:color w:val="000000" w:themeColor="text1"/>
          <w:spacing w:val="8"/>
          <w:sz w:val="32"/>
          <w:szCs w:val="32"/>
          <w:u w:val="none"/>
          <w:shd w:val="clear" w:color="auto" w:fill="FFFFFF"/>
          <w:lang w:eastAsia="zh-CN"/>
          <w14:textFill>
            <w14:solidFill>
              <w14:schemeClr w14:val="tx1"/>
            </w14:solidFill>
          </w14:textFill>
        </w:rPr>
        <w:t>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具备本科阶段连续在校学习经历，</w:t>
      </w:r>
      <w:r>
        <w:rPr>
          <w:rFonts w:hint="default" w:ascii="Times New Roman" w:hAnsi="Times New Roman" w:eastAsia="仿宋_GB2312" w:cs="Times New Roman"/>
          <w:color w:val="000000" w:themeColor="text1"/>
          <w:sz w:val="32"/>
          <w:szCs w:val="32"/>
          <w14:textFill>
            <w14:solidFill>
              <w14:schemeClr w14:val="tx1"/>
            </w14:solidFill>
          </w14:textFill>
        </w:rPr>
        <w:t>可以使用本人已获得的学历、学位及其对应的专业进行报考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不仅报考的专业要符合招考岗位的专业要求，该专业对应的学历、学位也要符合招考岗位的学历、学位要求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3"/>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6</w:t>
      </w:r>
      <w:r>
        <w:rPr>
          <w:rFonts w:hint="default" w:ascii="楷体_GB2312" w:hAnsi="楷体_GB2312" w:eastAsia="楷体_GB2312" w:cs="楷体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有以下情形之一的人员不得报名：因犯罪受过刑事处罚的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被开除中国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共产党</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党籍的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被开除公职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的；</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被依法列为失信联合惩戒对象的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在各级公务员或事业单位招考中被认定有舞弊等严重违反录(聘)用纪律行为的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公务员、参公人员或事业单位工作人员被辞退未满5年的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考录后服务年限不满5年(含试用期)以及未达到与当地公务员主管部门或所在单位组织人事部门约定服务年限的公务员或参公人员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试用期内和服务期限未满的本市事业单位工作人员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现役军人，在读的非应届毕业生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聘用后即构成相关法律法规规定的回避情形的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法律规定不得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聘用</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为事业单位工作人员的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7</w:t>
      </w:r>
      <w:r>
        <w:rPr>
          <w:rFonts w:hint="default" w:ascii="楷体_GB2312" w:hAnsi="楷体_GB2312" w:eastAsia="楷体_GB2312" w:cs="楷体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招聘单位的在编人员不得报名，其他</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在编人员需提供所在学校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教育行政主管部门出具的同意报考证明。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三、信息发布</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招聘公告等信息在莆田市人力资源和社会保障局网站</w:t>
      </w:r>
      <w:r>
        <w:rPr>
          <w:rFonts w:hint="default" w:ascii="楷体_GB2312" w:hAnsi="楷体_GB2312" w:eastAsia="楷体_GB2312" w:cs="楷体_GB2312"/>
          <w:color w:val="000000" w:themeColor="text1"/>
          <w:kern w:val="2"/>
          <w:sz w:val="32"/>
          <w:szCs w:val="32"/>
          <w:lang w:val="en-US" w:eastAsia="zh-CN" w:bidi="ar-SA"/>
          <w14:textFill>
            <w14:solidFill>
              <w14:schemeClr w14:val="tx1"/>
            </w14:solidFill>
          </w14:textFill>
        </w:rPr>
        <w:t>（</w:t>
      </w:r>
      <w:r>
        <w:rPr>
          <w:rFonts w:hint="default" w:ascii="楷体_GB2312" w:hAnsi="楷体_GB2312" w:eastAsia="楷体_GB2312" w:cs="楷体_GB2312"/>
          <w:color w:val="000000" w:themeColor="text1"/>
          <w:kern w:val="2"/>
          <w:sz w:val="32"/>
          <w:szCs w:val="32"/>
          <w:lang w:val="en-US" w:eastAsia="zh-CN" w:bidi="ar-SA"/>
          <w14:textFill>
            <w14:solidFill>
              <w14:schemeClr w14:val="tx1"/>
            </w14:solidFill>
          </w14:textFill>
        </w:rPr>
        <w:fldChar w:fldCharType="begin"/>
      </w:r>
      <w:r>
        <w:rPr>
          <w:rFonts w:hint="default" w:ascii="楷体_GB2312" w:hAnsi="楷体_GB2312" w:eastAsia="楷体_GB2312" w:cs="楷体_GB2312"/>
          <w:color w:val="000000" w:themeColor="text1"/>
          <w:kern w:val="2"/>
          <w:sz w:val="32"/>
          <w:szCs w:val="32"/>
          <w:lang w:val="en-US" w:eastAsia="zh-CN" w:bidi="ar-SA"/>
          <w14:textFill>
            <w14:solidFill>
              <w14:schemeClr w14:val="tx1"/>
            </w14:solidFill>
          </w14:textFill>
        </w:rPr>
        <w:instrText xml:space="preserve"> HYPERLINK "http://rsj.putian.gov.cn/" </w:instrText>
      </w:r>
      <w:r>
        <w:rPr>
          <w:rFonts w:hint="default" w:ascii="楷体_GB2312" w:hAnsi="楷体_GB2312" w:eastAsia="楷体_GB2312" w:cs="楷体_GB2312"/>
          <w:color w:val="000000" w:themeColor="text1"/>
          <w:kern w:val="2"/>
          <w:sz w:val="32"/>
          <w:szCs w:val="32"/>
          <w:lang w:val="en-US" w:eastAsia="zh-CN" w:bidi="ar-SA"/>
          <w14:textFill>
            <w14:solidFill>
              <w14:schemeClr w14:val="tx1"/>
            </w14:solidFill>
          </w14:textFill>
        </w:rPr>
        <w:fldChar w:fldCharType="separate"/>
      </w:r>
      <w:r>
        <w:rPr>
          <w:rFonts w:hint="default" w:ascii="楷体_GB2312" w:hAnsi="楷体_GB2312" w:eastAsia="楷体_GB2312" w:cs="楷体_GB2312"/>
          <w:color w:val="000000" w:themeColor="text1"/>
          <w:kern w:val="2"/>
          <w:sz w:val="32"/>
          <w:szCs w:val="32"/>
          <w:lang w:val="en-US" w:eastAsia="zh-CN" w:bidi="ar-SA"/>
          <w14:textFill>
            <w14:solidFill>
              <w14:schemeClr w14:val="tx1"/>
            </w14:solidFill>
          </w14:textFill>
        </w:rPr>
        <w:t>http://rsj.putian.gov.cn/</w:t>
      </w:r>
      <w:r>
        <w:rPr>
          <w:rFonts w:hint="default" w:ascii="楷体_GB2312" w:hAnsi="楷体_GB2312" w:eastAsia="楷体_GB2312" w:cs="楷体_GB2312"/>
          <w:color w:val="000000" w:themeColor="text1"/>
          <w:kern w:val="2"/>
          <w:sz w:val="32"/>
          <w:szCs w:val="32"/>
          <w:lang w:val="en-US" w:eastAsia="zh-CN" w:bidi="ar-SA"/>
          <w14:textFill>
            <w14:solidFill>
              <w14:schemeClr w14:val="tx1"/>
            </w14:solidFill>
          </w14:textFill>
        </w:rPr>
        <w:fldChar w:fldCharType="end"/>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）、城厢区人民政府网-专题专栏-教育专栏</w:t>
      </w:r>
      <w:r>
        <w:rPr>
          <w:rFonts w:hint="default" w:ascii="Times New Roman" w:hAnsi="Times New Roman" w:eastAsia="仿宋_GB2312" w:cs="Times New Roman"/>
          <w:bCs/>
          <w:color w:val="000000" w:themeColor="text1"/>
          <w:spacing w:val="-6"/>
          <w:sz w:val="32"/>
          <w:szCs w:val="32"/>
          <w:lang w:val="en-US" w:eastAsia="zh-CN"/>
          <w14:textFill>
            <w14:solidFill>
              <w14:schemeClr w14:val="tx1"/>
            </w14:solidFill>
          </w14:textFill>
        </w:rPr>
        <w:t>（</w:t>
      </w:r>
      <w:r>
        <w:rPr>
          <w:rFonts w:hint="default" w:ascii="楷体_GB2312" w:hAnsi="楷体_GB2312" w:eastAsia="楷体_GB2312" w:cs="楷体_GB2312"/>
          <w:color w:val="000000" w:themeColor="text1"/>
          <w:spacing w:val="-6"/>
          <w:kern w:val="2"/>
          <w:sz w:val="32"/>
          <w:szCs w:val="32"/>
          <w:lang w:val="en-US" w:eastAsia="zh-CN" w:bidi="ar-SA"/>
          <w14:textFill>
            <w14:solidFill>
              <w14:schemeClr w14:val="tx1"/>
            </w14:solidFill>
          </w14:textFill>
        </w:rPr>
        <w:t>http://www.chengxiang.gov.cn/ztzl/jyzt/）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及“城厢教育”</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公众号上发布。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Cs/>
          <w:color w:val="000000" w:themeColor="text1"/>
          <w:kern w:val="0"/>
          <w:sz w:val="32"/>
          <w:szCs w:val="32"/>
          <w:lang w:eastAsia="zh-CN"/>
          <w14:textFill>
            <w14:solidFill>
              <w14:schemeClr w14:val="tx1"/>
            </w14:solidFill>
          </w14:textFill>
        </w:rPr>
      </w:pPr>
      <w:r>
        <w:rPr>
          <w:rFonts w:hint="eastAsia" w:ascii="黑体" w:hAnsi="黑体" w:eastAsia="黑体" w:cs="黑体"/>
          <w:bCs/>
          <w:color w:val="000000" w:themeColor="text1"/>
          <w:kern w:val="0"/>
          <w:sz w:val="32"/>
          <w:szCs w:val="32"/>
          <w:lang w:val="en-US" w:eastAsia="zh-CN"/>
          <w14:textFill>
            <w14:solidFill>
              <w14:schemeClr w14:val="tx1"/>
            </w14:solidFill>
          </w14:textFill>
        </w:rPr>
        <w:t>四</w:t>
      </w:r>
      <w:r>
        <w:rPr>
          <w:rFonts w:hint="eastAsia" w:ascii="黑体" w:hAnsi="黑体" w:eastAsia="黑体" w:cs="黑体"/>
          <w:bCs/>
          <w:color w:val="000000" w:themeColor="text1"/>
          <w:kern w:val="0"/>
          <w:sz w:val="32"/>
          <w:szCs w:val="32"/>
          <w14:textFill>
            <w14:solidFill>
              <w14:schemeClr w14:val="tx1"/>
            </w14:solidFill>
          </w14:textFill>
        </w:rPr>
        <w:t>、报名</w:t>
      </w:r>
      <w:r>
        <w:rPr>
          <w:rFonts w:hint="eastAsia" w:ascii="黑体" w:hAnsi="黑体" w:eastAsia="黑体" w:cs="黑体"/>
          <w:bCs/>
          <w:color w:val="000000" w:themeColor="text1"/>
          <w:kern w:val="0"/>
          <w:sz w:val="32"/>
          <w:szCs w:val="32"/>
          <w:lang w:eastAsia="zh-CN"/>
          <w14:textFill>
            <w14:solidFill>
              <w14:schemeClr w14:val="tx1"/>
            </w14:solidFill>
          </w14:textFill>
        </w:rPr>
        <w:t>和资格审查</w:t>
      </w:r>
    </w:p>
    <w:p>
      <w:pPr>
        <w:keepNext w:val="0"/>
        <w:keepLines w:val="0"/>
        <w:pageBreakBefore w:val="0"/>
        <w:kinsoku/>
        <w:wordWrap/>
        <w:overflowPunct/>
        <w:topLinePunct w:val="0"/>
        <w:autoSpaceDE/>
        <w:autoSpaceDN/>
        <w:bidi w:val="0"/>
        <w:spacing w:line="560" w:lineRule="exact"/>
        <w:ind w:firstLine="640"/>
        <w:jc w:val="both"/>
        <w:textAlignment w:val="auto"/>
        <w:outlineLvl w:val="1"/>
        <w:rPr>
          <w:rStyle w:val="9"/>
          <w:rFonts w:hint="eastAsia" w:ascii="楷体_GB2312" w:hAnsi="楷体_GB2312" w:eastAsia="楷体_GB2312" w:cs="楷体_GB2312"/>
          <w:color w:val="000000" w:themeColor="text1"/>
          <w:sz w:val="32"/>
          <w:szCs w:val="32"/>
          <w14:textFill>
            <w14:solidFill>
              <w14:schemeClr w14:val="tx1"/>
            </w14:solidFill>
          </w14:textFill>
        </w:rPr>
      </w:pPr>
      <w:r>
        <w:rPr>
          <w:rStyle w:val="9"/>
          <w:rFonts w:hint="eastAsia" w:ascii="楷体_GB2312" w:hAnsi="楷体_GB2312" w:eastAsia="楷体_GB2312" w:cs="楷体_GB2312"/>
          <w:color w:val="000000" w:themeColor="text1"/>
          <w:sz w:val="32"/>
          <w:szCs w:val="32"/>
          <w14:textFill>
            <w14:solidFill>
              <w14:schemeClr w14:val="tx1"/>
            </w14:solidFill>
          </w14:textFill>
        </w:rPr>
        <w:t>（一）报名</w:t>
      </w:r>
    </w:p>
    <w:p>
      <w:pPr>
        <w:pStyle w:val="3"/>
        <w:keepNext w:val="0"/>
        <w:keepLines w:val="0"/>
        <w:pageBreakBefore w:val="0"/>
        <w:kinsoku/>
        <w:wordWrap/>
        <w:overflowPunct/>
        <w:topLinePunct w:val="0"/>
        <w:autoSpaceDE/>
        <w:autoSpaceDN/>
        <w:bidi w:val="0"/>
        <w:adjustRightInd/>
        <w:spacing w:line="560" w:lineRule="exact"/>
        <w:ind w:firstLine="643" w:firstLineChars="200"/>
        <w:jc w:val="both"/>
        <w:textAlignment w:val="auto"/>
        <w:rPr>
          <w:rStyle w:val="9"/>
          <w:rFonts w:hint="eastAsia" w:ascii="楷体_GB2312" w:hAnsi="楷体_GB2312" w:eastAsia="楷体_GB2312" w:cs="楷体_GB2312"/>
          <w:color w:val="000000" w:themeColor="text1"/>
          <w:sz w:val="32"/>
          <w:szCs w:val="32"/>
          <w14:textFill>
            <w14:solidFill>
              <w14:schemeClr w14:val="tx1"/>
            </w14:solidFill>
          </w14:textFill>
        </w:rPr>
      </w:pPr>
      <w:r>
        <w:rPr>
          <w:rStyle w:val="9"/>
          <w:rFonts w:hint="eastAsia" w:ascii="楷体_GB2312" w:hAnsi="楷体_GB2312" w:eastAsia="楷体_GB2312" w:cs="楷体_GB2312"/>
          <w:color w:val="000000" w:themeColor="text1"/>
          <w:sz w:val="32"/>
          <w:szCs w:val="32"/>
          <w14:textFill>
            <w14:solidFill>
              <w14:schemeClr w14:val="tx1"/>
            </w14:solidFill>
          </w14:textFill>
        </w:rPr>
        <w:t>1.报名时间：</w:t>
      </w:r>
      <w:r>
        <w:rPr>
          <w:rFonts w:hint="eastAsia" w:ascii="仿宋_GB2312" w:eastAsia="仿宋_GB2312"/>
          <w:color w:val="000000" w:themeColor="text1"/>
          <w:sz w:val="32"/>
          <w:szCs w:val="32"/>
          <w:shd w:val="clear" w:color="auto" w:fill="FFFFFF"/>
          <w14:textFill>
            <w14:solidFill>
              <w14:schemeClr w14:val="tx1"/>
            </w14:solidFill>
          </w14:textFill>
        </w:rPr>
        <w:t>从本方案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公布</w:t>
      </w:r>
      <w:r>
        <w:rPr>
          <w:rFonts w:hint="eastAsia" w:ascii="仿宋_GB2312" w:eastAsia="仿宋_GB2312"/>
          <w:color w:val="000000" w:themeColor="text1"/>
          <w:sz w:val="32"/>
          <w:szCs w:val="32"/>
          <w:shd w:val="clear" w:color="auto" w:fill="FFFFFF"/>
          <w14:textFill>
            <w14:solidFill>
              <w14:schemeClr w14:val="tx1"/>
            </w14:solidFill>
          </w14:textFill>
        </w:rPr>
        <w:t>之日起至202</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6</w:t>
      </w:r>
      <w:r>
        <w:rPr>
          <w:rFonts w:hint="eastAsia" w:ascii="仿宋_GB2312" w:eastAsia="仿宋_GB2312"/>
          <w:color w:val="000000" w:themeColor="text1"/>
          <w:sz w:val="32"/>
          <w14:textFill>
            <w14:solidFill>
              <w14:schemeClr w14:val="tx1"/>
            </w14:solidFill>
          </w14:textFill>
        </w:rPr>
        <w:t>年</w:t>
      </w:r>
      <w:r>
        <w:rPr>
          <w:rFonts w:hint="eastAsia" w:ascii="仿宋_GB2312" w:eastAsia="仿宋_GB2312"/>
          <w:color w:val="000000" w:themeColor="text1"/>
          <w:sz w:val="32"/>
          <w:lang w:val="en-US" w:eastAsia="zh-CN"/>
          <w14:textFill>
            <w14:solidFill>
              <w14:schemeClr w14:val="tx1"/>
            </w14:solidFill>
          </w14:textFill>
        </w:rPr>
        <w:t>8</w:t>
      </w:r>
      <w:r>
        <w:rPr>
          <w:rFonts w:hint="eastAsia" w:ascii="仿宋_GB2312" w:eastAsia="仿宋_GB2312"/>
          <w:color w:val="000000" w:themeColor="text1"/>
          <w:sz w:val="32"/>
          <w14:textFill>
            <w14:solidFill>
              <w14:schemeClr w14:val="tx1"/>
            </w14:solidFill>
          </w14:textFill>
        </w:rPr>
        <w:t>月</w:t>
      </w:r>
      <w:r>
        <w:rPr>
          <w:rFonts w:hint="eastAsia" w:ascii="仿宋_GB2312" w:eastAsia="仿宋_GB2312"/>
          <w:color w:val="000000" w:themeColor="text1"/>
          <w:sz w:val="32"/>
          <w:lang w:val="en-US" w:eastAsia="zh-CN"/>
          <w14:textFill>
            <w14:solidFill>
              <w14:schemeClr w14:val="tx1"/>
            </w14:solidFill>
          </w14:textFill>
        </w:rPr>
        <w:t>7</w:t>
      </w:r>
      <w:r>
        <w:rPr>
          <w:rFonts w:hint="eastAsia" w:ascii="仿宋_GB2312" w:eastAsia="仿宋_GB2312"/>
          <w:color w:val="000000" w:themeColor="text1"/>
          <w:sz w:val="32"/>
          <w:szCs w:val="32"/>
          <w:shd w:val="clear" w:color="auto" w:fill="FFFFFF"/>
          <w14:textFill>
            <w14:solidFill>
              <w14:schemeClr w14:val="tx1"/>
            </w14:solidFill>
          </w14:textFill>
        </w:rPr>
        <w:t>日</w:t>
      </w:r>
      <w:r>
        <w:rPr>
          <w:rFonts w:hint="eastAsia" w:ascii="仿宋_GB2312" w:eastAsia="仿宋_GB2312"/>
          <w:color w:val="000000" w:themeColor="text1"/>
          <w:sz w:val="32"/>
          <w:szCs w:val="32"/>
          <w:shd w:val="clear" w:color="auto" w:fill="FFFFFF"/>
          <w:lang w:val="en-US" w:eastAsia="zh-CN"/>
          <w14:textFill>
            <w14:solidFill>
              <w14:schemeClr w14:val="tx1"/>
            </w14:solidFill>
          </w14:textFill>
        </w:rPr>
        <w:t>17</w:t>
      </w:r>
      <w:bookmarkStart w:id="0" w:name="_GoBack"/>
      <w:bookmarkEnd w:id="0"/>
      <w:r>
        <w:rPr>
          <w:rFonts w:hint="eastAsia" w:ascii="仿宋_GB2312" w:eastAsia="仿宋_GB2312"/>
          <w:color w:val="000000" w:themeColor="text1"/>
          <w:sz w:val="32"/>
          <w:szCs w:val="32"/>
          <w:shd w:val="clear" w:color="auto" w:fill="FFFFFF"/>
          <w14:textFill>
            <w14:solidFill>
              <w14:schemeClr w14:val="tx1"/>
            </w14:solidFill>
          </w14:textFill>
        </w:rPr>
        <w:t>：30。</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Style w:val="9"/>
          <w:rFonts w:hint="eastAsia" w:ascii="楷体_GB2312" w:hAnsi="楷体_GB2312" w:eastAsia="楷体_GB2312" w:cs="楷体_GB2312"/>
          <w:color w:val="000000" w:themeColor="text1"/>
          <w:sz w:val="32"/>
          <w:szCs w:val="32"/>
          <w14:textFill>
            <w14:solidFill>
              <w14:schemeClr w14:val="tx1"/>
            </w14:solidFill>
          </w14:textFill>
        </w:rPr>
        <w:t>2.报名方式：</w:t>
      </w:r>
      <w:r>
        <w:rPr>
          <w:rFonts w:hint="eastAsia" w:ascii="仿宋_GB2312" w:hAnsi="仿宋_GB2312" w:eastAsia="仿宋_GB2312" w:cs="仿宋_GB2312"/>
          <w:color w:val="000000" w:themeColor="text1"/>
          <w:kern w:val="0"/>
          <w:sz w:val="32"/>
          <w:szCs w:val="32"/>
          <w14:textFill>
            <w14:solidFill>
              <w14:schemeClr w14:val="tx1"/>
            </w14:solidFill>
          </w14:textFill>
        </w:rPr>
        <w:t>采取网上报名方式</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。报考者登录</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福建就业网（www.fj99.org.cn）首页“事业单位公开招聘”模块，点击“</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地市</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导航”进入“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莆田</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”（以下简称福建就业网）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，进行注册，提交资料，上传照片及相关证件图片等。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highlight w:val="none"/>
          <w14:textFill>
            <w14:solidFill>
              <w14:schemeClr w14:val="tx1"/>
            </w14:solidFill>
          </w14:textFill>
        </w:rPr>
        <w:t>注意</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每个考生成功报考1个</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岗位</w:t>
      </w:r>
      <w:r>
        <w:rPr>
          <w:rFonts w:hint="eastAsia" w:ascii="仿宋_GB2312" w:hAnsi="仿宋_GB2312" w:eastAsia="仿宋_GB2312" w:cs="仿宋_GB2312"/>
          <w:color w:val="000000" w:themeColor="text1"/>
          <w:kern w:val="0"/>
          <w:sz w:val="32"/>
          <w:szCs w:val="32"/>
          <w14:textFill>
            <w14:solidFill>
              <w14:schemeClr w14:val="tx1"/>
            </w14:solidFill>
          </w14:textFill>
        </w:rPr>
        <w:t>后，不得改报其它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岗位</w:t>
      </w:r>
      <w:r>
        <w:rPr>
          <w:rFonts w:hint="eastAsia" w:ascii="仿宋_GB2312" w:hAnsi="仿宋_GB2312" w:eastAsia="仿宋_GB2312" w:cs="仿宋_GB2312"/>
          <w:color w:val="000000" w:themeColor="text1"/>
          <w:kern w:val="0"/>
          <w:sz w:val="32"/>
          <w:szCs w:val="32"/>
          <w14:textFill>
            <w14:solidFill>
              <w14:schemeClr w14:val="tx1"/>
            </w14:solidFill>
          </w14:textFill>
        </w:rPr>
        <w:t>。报名系统于</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8</w:t>
      </w:r>
      <w:r>
        <w:rPr>
          <w:rFonts w:hint="default" w:ascii="仿宋_GB2312" w:hAnsi="仿宋_GB2312" w:eastAsia="仿宋_GB2312" w:cs="仿宋_GB2312"/>
          <w:color w:val="000000" w:themeColor="text1"/>
          <w:kern w:val="0"/>
          <w:sz w:val="32"/>
          <w:szCs w:val="32"/>
          <w:lang w:val="en" w:eastAsia="zh-CN"/>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w:t>
      </w:r>
      <w:r>
        <w:rPr>
          <w:rFonts w:hint="default" w:ascii="仿宋_GB2312" w:hAnsi="仿宋_GB2312" w:eastAsia="仿宋_GB2312" w:cs="仿宋_GB2312"/>
          <w:color w:val="000000" w:themeColor="text1"/>
          <w:kern w:val="0"/>
          <w:sz w:val="32"/>
          <w:szCs w:val="32"/>
          <w:lang w:val="en" w:eastAsia="zh-CN"/>
          <w14:textFill>
            <w14:solidFill>
              <w14:schemeClr w14:val="tx1"/>
            </w14:solidFill>
          </w14:textFill>
        </w:rPr>
        <w:t>日</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kern w:val="0"/>
          <w:sz w:val="32"/>
          <w:szCs w:val="32"/>
          <w14:textFill>
            <w14:solidFill>
              <w14:schemeClr w14:val="tx1"/>
            </w14:solidFill>
          </w14:textFill>
        </w:rPr>
        <w:t>时</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30分</w:t>
      </w:r>
      <w:r>
        <w:rPr>
          <w:rFonts w:hint="eastAsia" w:ascii="仿宋_GB2312" w:hAnsi="仿宋_GB2312" w:eastAsia="仿宋_GB2312" w:cs="仿宋_GB2312"/>
          <w:color w:val="000000" w:themeColor="text1"/>
          <w:kern w:val="0"/>
          <w:sz w:val="32"/>
          <w:szCs w:val="32"/>
          <w14:textFill>
            <w14:solidFill>
              <w14:schemeClr w14:val="tx1"/>
            </w14:solidFill>
          </w14:textFill>
        </w:rPr>
        <w:t>关闭</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本次报名不收费。</w:t>
      </w:r>
    </w:p>
    <w:p>
      <w:pPr>
        <w:keepNext w:val="0"/>
        <w:keepLines w:val="0"/>
        <w:pageBreakBefore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Style w:val="9"/>
          <w:rFonts w:hint="eastAsia" w:ascii="楷体_GB2312" w:hAnsi="楷体_GB2312" w:eastAsia="楷体_GB2312" w:cs="楷体_GB2312"/>
          <w:color w:val="000000" w:themeColor="text1"/>
          <w:sz w:val="32"/>
          <w:szCs w:val="32"/>
          <w14:textFill>
            <w14:solidFill>
              <w14:schemeClr w14:val="tx1"/>
            </w14:solidFill>
          </w14:textFill>
        </w:rPr>
        <w:t>3.资格</w:t>
      </w:r>
      <w:r>
        <w:rPr>
          <w:rStyle w:val="9"/>
          <w:rFonts w:hint="eastAsia" w:ascii="楷体_GB2312" w:hAnsi="楷体_GB2312" w:eastAsia="楷体_GB2312" w:cs="楷体_GB2312"/>
          <w:color w:val="000000" w:themeColor="text1"/>
          <w:sz w:val="32"/>
          <w:szCs w:val="32"/>
          <w:lang w:val="en-US" w:eastAsia="zh-CN"/>
          <w14:textFill>
            <w14:solidFill>
              <w14:schemeClr w14:val="tx1"/>
            </w14:solidFill>
          </w14:textFill>
        </w:rPr>
        <w:t>审查</w:t>
      </w:r>
      <w:r>
        <w:rPr>
          <w:rStyle w:val="9"/>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资格审查工作主要由城厢区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教师招聘领导小组</w:t>
      </w:r>
      <w:r>
        <w:rPr>
          <w:rFonts w:hint="eastAsia" w:ascii="仿宋_GB2312" w:hAnsi="仿宋_GB2312" w:eastAsia="仿宋_GB2312" w:cs="仿宋_GB2312"/>
          <w:color w:val="000000" w:themeColor="text1"/>
          <w:kern w:val="0"/>
          <w:sz w:val="32"/>
          <w:szCs w:val="32"/>
          <w14:textFill>
            <w14:solidFill>
              <w14:schemeClr w14:val="tx1"/>
            </w14:solidFill>
          </w14:textFill>
        </w:rPr>
        <w:t>负责。</w:t>
      </w:r>
    </w:p>
    <w:p>
      <w:pPr>
        <w:keepNext w:val="0"/>
        <w:keepLines w:val="0"/>
        <w:pageBreakBefore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Style w:val="9"/>
          <w:rFonts w:hint="eastAsia" w:ascii="楷体_GB2312" w:hAnsi="楷体_GB2312" w:eastAsia="楷体_GB2312" w:cs="楷体_GB2312"/>
          <w:color w:val="000000" w:themeColor="text1"/>
          <w:sz w:val="32"/>
          <w:szCs w:val="32"/>
          <w14:textFill>
            <w14:solidFill>
              <w14:schemeClr w14:val="tx1"/>
            </w14:solidFill>
          </w14:textFill>
        </w:rPr>
        <w:t>4.注意事项：</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报考者提交的报考信息应当真实、准确，提供虚假报考信息的，一经查实，即取消报考资格。对伪造、编造有关证件、材料、信息，骗取考试资格以及对注册虚假信息，恶意刷高报考人数，达到减少竞争目的扰乱报名秩序的行为，将按照《事业单位公开招聘违纪违规行为处理规定》予以处理。</w:t>
      </w:r>
    </w:p>
    <w:p>
      <w:pPr>
        <w:keepNext w:val="0"/>
        <w:keepLines w:val="0"/>
        <w:pageBreakBefore w:val="0"/>
        <w:widowControl w:val="0"/>
        <w:kinsoku/>
        <w:wordWrap/>
        <w:overflowPunct/>
        <w:topLinePunct w:val="0"/>
        <w:autoSpaceDE/>
        <w:bidi w:val="0"/>
        <w:adjustRightInd/>
        <w:snapToGrid/>
        <w:spacing w:beforeAutospacing="0" w:afterAutospacing="0" w:line="600" w:lineRule="exact"/>
        <w:ind w:firstLine="640" w:firstLineChars="200"/>
        <w:jc w:val="both"/>
        <w:textAlignment w:val="auto"/>
        <w:outlineLvl w:val="0"/>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spacing w:val="0"/>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pacing w:val="0"/>
          <w:sz w:val="32"/>
          <w:szCs w:val="32"/>
          <w:highlight w:val="none"/>
          <w:lang w:eastAsia="zh-CN"/>
          <w14:textFill>
            <w14:solidFill>
              <w14:schemeClr w14:val="tx1"/>
            </w14:solidFill>
          </w14:textFill>
        </w:rPr>
        <w:t>考试</w:t>
      </w:r>
    </w:p>
    <w:p>
      <w:pPr>
        <w:keepNext w:val="0"/>
        <w:keepLines w:val="0"/>
        <w:pageBreakBefore w:val="0"/>
        <w:kinsoku/>
        <w:wordWrap/>
        <w:overflowPunct/>
        <w:topLinePunct w:val="0"/>
        <w:autoSpaceDE/>
        <w:autoSpaceDN/>
        <w:bidi w:val="0"/>
        <w:spacing w:line="560" w:lineRule="exact"/>
        <w:ind w:firstLine="64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考试采取笔试、面试相结合的方式，笔试、面试总分均为100分。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符合招考条件的实际报名人数与岗位拟招聘人数比例原则上应达3</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1以上方可开考，</w:t>
      </w:r>
      <w:r>
        <w:rPr>
          <w:rFonts w:hint="eastAsia" w:ascii="仿宋_GB2312" w:hAnsi="仿宋_GB2312" w:eastAsia="仿宋_GB2312" w:cs="仿宋_GB2312"/>
          <w:color w:val="000000" w:themeColor="text1"/>
          <w:kern w:val="0"/>
          <w:sz w:val="32"/>
          <w:szCs w:val="32"/>
          <w14:textFill>
            <w14:solidFill>
              <w14:schemeClr w14:val="tx1"/>
            </w14:solidFill>
          </w14:textFill>
        </w:rPr>
        <w:t>达不到比例的不开考或等比例缩减招考人数。不开考或等比例缩减招考人数</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的岗位</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由城厢区教师招聘领导小组统一在城厢区人民政府网“教育专栏”公布。报名时间截止时，报名人数仍未达到3:1比例的，参照闽人发〔2006〕11号文件规定执行。</w:t>
      </w:r>
    </w:p>
    <w:p>
      <w:pPr>
        <w:keepNext w:val="0"/>
        <w:keepLines w:val="0"/>
        <w:pageBreakBefore w:val="0"/>
        <w:widowControl w:val="0"/>
        <w:kinsoku/>
        <w:wordWrap/>
        <w:overflowPunct/>
        <w:topLinePunct w:val="0"/>
        <w:autoSpaceDE/>
        <w:autoSpaceDN/>
        <w:bidi w:val="0"/>
        <w:adjustRightInd/>
        <w:snapToGrid/>
        <w:spacing w:line="600" w:lineRule="exact"/>
        <w:ind w:firstLine="630"/>
        <w:jc w:val="both"/>
        <w:textAlignment w:val="auto"/>
        <w:outlineLvl w:val="1"/>
        <w:rPr>
          <w:rFonts w:hint="eastAsia" w:ascii="楷体_GB2312" w:hAnsi="楷体_GB2312" w:eastAsia="楷体_GB2312" w:cs="楷体_GB2312"/>
          <w:b/>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b/>
          <w:color w:val="000000" w:themeColor="text1"/>
          <w:kern w:val="0"/>
          <w:sz w:val="32"/>
          <w:szCs w:val="32"/>
          <w:lang w:val="en-US" w:eastAsia="zh-CN"/>
          <w14:textFill>
            <w14:solidFill>
              <w14:schemeClr w14:val="tx1"/>
            </w14:solidFill>
          </w14:textFill>
        </w:rPr>
        <w:t>（一）笔试</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报名合格人员即为参加笔试人员，笔试合格线为60分，笔试合格者方可进入面试环节。</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1.笔试时间：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报名结束后在城厢区人民政府网“教育专栏”另行公布。</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2.笔试</w:t>
      </w:r>
      <w:r>
        <w:rPr>
          <w:rFonts w:hint="default" w:ascii="仿宋_GB2312" w:hAnsi="仿宋_GB2312" w:eastAsia="仿宋_GB2312" w:cs="仿宋_GB2312"/>
          <w:b/>
          <w:bCs/>
          <w:color w:val="000000" w:themeColor="text1"/>
          <w:kern w:val="0"/>
          <w:sz w:val="32"/>
          <w:szCs w:val="32"/>
          <w:lang w:val="en-US" w:eastAsia="zh-CN"/>
          <w14:textFill>
            <w14:solidFill>
              <w14:schemeClr w14:val="tx1"/>
            </w14:solidFill>
          </w14:textFill>
        </w:rPr>
        <w:t>科目</w:t>
      </w: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教育综合知识。主要内容为时事政治、师德规范、教育法律法规、教育学和心理学基础知识、新课程理念等。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EFEFE"/>
          <w:lang w:val="en-US" w:eastAsia="zh-CN" w:bidi="ar"/>
          <w14:textFill>
            <w14:solidFill>
              <w14:schemeClr w14:val="tx1"/>
            </w14:solidFill>
          </w14:textFill>
        </w:rPr>
        <w:t>3.笔试地点：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以准考证上的考点地址为准，请考生认真核对。</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000000" w:themeColor="text1"/>
          <w:kern w:val="0"/>
          <w:sz w:val="32"/>
          <w:szCs w:val="32"/>
          <w:shd w:val="clear" w:color="auto" w:fill="FEFEFE"/>
          <w:lang w:val="en-US" w:eastAsia="zh-CN" w:bidi="ar"/>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EFEFE"/>
          <w:lang w:val="en-US" w:eastAsia="zh-CN" w:bidi="ar"/>
          <w14:textFill>
            <w14:solidFill>
              <w14:schemeClr w14:val="tx1"/>
            </w14:solidFill>
          </w14:textFill>
        </w:rPr>
        <w:t>4.参加笔试的注意事项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（1）必须带齐准考证、身份证，方可进入考场。进入考场时要服从工作人员的安排。考试前遗失身份证的，可持公安部门出具的临时身份证参加考试。</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严禁将各种通讯工具(如手机等具有发送或者接收信息功能的设备等)、各类手表、电子手环、电子计算器、电子存储记忆录放设备以及涂改液、修正带等物品带入考场。携带规定以外的物品进入考场且未放在指定位置的属考试违纪行为，一律按照相关规定处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（3）考试开始30分钟后不得入场；考试期间不得提前退场。</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（4）不得将答题卡、试卷、草稿纸等带出考场。</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（5）遵守考场规则，若有违纪违规行为，将按违纪违规行为处理办法进行处理。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（6）应试人员可在考试前一天熟悉考点地址和交通路线。</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kern w:val="0"/>
          <w:sz w:val="32"/>
          <w:szCs w:val="32"/>
          <w:shd w:val="clear" w:color="auto" w:fill="FEFEFE"/>
          <w:lang w:val="en-US" w:eastAsia="zh-CN" w:bidi="ar"/>
          <w14:textFill>
            <w14:solidFill>
              <w14:schemeClr w14:val="tx1"/>
            </w14:solidFill>
          </w14:textFill>
        </w:rPr>
        <w:t>5.成绩查询</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报考者可凭本人身份证号和准考证号，在</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福建就业网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查询本人的笔试成绩，请及时查询、密切关注。</w:t>
      </w:r>
    </w:p>
    <w:p>
      <w:pPr>
        <w:keepNext w:val="0"/>
        <w:keepLines w:val="0"/>
        <w:pageBreakBefore w:val="0"/>
        <w:kinsoku/>
        <w:wordWrap/>
        <w:overflowPunct/>
        <w:topLinePunct w:val="0"/>
        <w:autoSpaceDE/>
        <w:autoSpaceDN/>
        <w:bidi w:val="0"/>
        <w:adjustRightInd/>
        <w:snapToGrid/>
        <w:spacing w:line="554" w:lineRule="exact"/>
        <w:ind w:right="0" w:firstLine="630" w:firstLineChars="196"/>
        <w:jc w:val="both"/>
        <w:textAlignment w:val="auto"/>
        <w:outlineLvl w:val="1"/>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二</w:t>
      </w:r>
      <w:r>
        <w:rPr>
          <w:rFonts w:hint="eastAsia" w:ascii="仿宋" w:hAnsi="仿宋" w:eastAsia="仿宋" w:cs="仿宋"/>
          <w:b/>
          <w:bCs/>
          <w:color w:val="000000" w:themeColor="text1"/>
          <w:sz w:val="32"/>
          <w:szCs w:val="32"/>
          <w:highlight w:val="none"/>
          <w14:textFill>
            <w14:solidFill>
              <w14:schemeClr w14:val="tx1"/>
            </w14:solidFill>
          </w14:textFill>
        </w:rPr>
        <w:t>）面试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outlineLvl w:val="2"/>
        <w:rPr>
          <w:rFonts w:hint="eastAsia" w:ascii="仿宋_GB2312" w:hAnsi="仿宋_GB2312" w:eastAsia="仿宋_GB2312" w:cs="仿宋_GB2312"/>
          <w:b/>
          <w:color w:val="000000" w:themeColor="text1"/>
          <w:kern w:val="0"/>
          <w:sz w:val="32"/>
          <w:szCs w:val="32"/>
          <w:shd w:val="clear" w:color="auto" w:fill="FEFEFE"/>
          <w:lang w:val="en-US" w:eastAsia="zh-CN" w:bidi="ar"/>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EFEFE"/>
          <w:lang w:val="en-US" w:eastAsia="zh-CN" w:bidi="ar"/>
          <w14:textFill>
            <w14:solidFill>
              <w14:schemeClr w14:val="tx1"/>
            </w14:solidFill>
          </w14:textFill>
        </w:rPr>
        <w:t>1.面试对象确定</w:t>
      </w:r>
    </w:p>
    <w:p>
      <w:pPr>
        <w:keepNext w:val="0"/>
        <w:keepLines w:val="0"/>
        <w:pageBreakBefore w:val="0"/>
        <w:kinsoku/>
        <w:wordWrap/>
        <w:overflowPunct/>
        <w:topLinePunct w:val="0"/>
        <w:autoSpaceDE/>
        <w:autoSpaceDN/>
        <w:bidi w:val="0"/>
        <w:adjustRightInd/>
        <w:snapToGrid/>
        <w:spacing w:line="554" w:lineRule="exact"/>
        <w:ind w:right="0" w:firstLine="800" w:firstLineChars="250"/>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参加面试的考生从笔试成绩达到合格分数线的人员中产生，从高分到低分按岗位拟招聘人数的1</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3比例确定入围面试名单，达不到规定比例的，按实有人数确定入围面试名单。若同一个岗位比例范围内最后一名出现笔试成绩并列的，一并确定为入围面试对象。拟进入面试考生名单将在城厢区人民政</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府网“教育专栏”公布。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outlineLvl w:val="2"/>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2.面试通知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拟进入面试考生名单和面试的时间、地点将在城厢区人民政府网“教育专栏”另行通知。报考者也可电话咨询招聘单位。</w:t>
      </w:r>
    </w:p>
    <w:p>
      <w:pPr>
        <w:keepNext w:val="0"/>
        <w:keepLines w:val="0"/>
        <w:pageBreakBefore w:val="0"/>
        <w:widowControl/>
        <w:numPr>
          <w:ilvl w:val="0"/>
          <w:numId w:val="0"/>
        </w:numPr>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b/>
          <w:color w:val="000000" w:themeColor="text1"/>
          <w:kern w:val="0"/>
          <w:sz w:val="32"/>
          <w:szCs w:val="32"/>
          <w:shd w:val="clear" w:color="auto" w:fill="FEFEFE"/>
          <w:lang w:val="en-US" w:eastAsia="zh-CN" w:bidi="ar"/>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EFEFE"/>
          <w:lang w:val="en-US" w:eastAsia="zh-CN" w:bidi="ar"/>
          <w14:textFill>
            <w14:solidFill>
              <w14:schemeClr w14:val="tx1"/>
            </w14:solidFill>
          </w14:textFill>
        </w:rPr>
        <w:t>3.面试办法</w:t>
      </w:r>
    </w:p>
    <w:p>
      <w:pPr>
        <w:keepNext w:val="0"/>
        <w:keepLines w:val="0"/>
        <w:pageBreakBefore w:val="0"/>
        <w:widowControl/>
        <w:numPr>
          <w:ilvl w:val="0"/>
          <w:numId w:val="0"/>
        </w:numPr>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统一采取编写教案、课堂片段教学方式进行。</w:t>
      </w:r>
    </w:p>
    <w:p>
      <w:pPr>
        <w:pStyle w:val="11"/>
        <w:keepNext w:val="0"/>
        <w:keepLines w:val="0"/>
        <w:pageBreakBefore w:val="0"/>
        <w:kinsoku/>
        <w:wordWrap/>
        <w:overflowPunct/>
        <w:topLinePunct w:val="0"/>
        <w:autoSpaceDE/>
        <w:autoSpaceDN/>
        <w:bidi w:val="0"/>
        <w:adjustRightInd/>
        <w:snapToGrid/>
        <w:spacing w:line="554" w:lineRule="exact"/>
        <w:ind w:right="0" w:firstLine="643" w:firstLineChars="200"/>
        <w:jc w:val="both"/>
        <w:textAlignment w:val="auto"/>
        <w:outlineLvl w:val="2"/>
        <w:rPr>
          <w:rFonts w:hint="eastAsia" w:ascii="仿宋" w:hAnsi="仿宋" w:eastAsia="仿宋" w:cs="仿宋_GB2312"/>
          <w:b/>
          <w:bCs/>
          <w:color w:val="000000" w:themeColor="text1"/>
          <w:kern w:val="2"/>
          <w:sz w:val="32"/>
          <w:szCs w:val="32"/>
          <w:highlight w:val="none"/>
          <w:lang w:eastAsia="zh-CN"/>
          <w14:textFill>
            <w14:solidFill>
              <w14:schemeClr w14:val="tx1"/>
            </w14:solidFill>
          </w14:textFill>
        </w:rPr>
      </w:pPr>
      <w:r>
        <w:rPr>
          <w:rFonts w:hint="eastAsia" w:ascii="仿宋" w:hAnsi="仿宋" w:eastAsia="仿宋" w:cs="仿宋_GB2312"/>
          <w:b/>
          <w:bCs/>
          <w:color w:val="000000" w:themeColor="text1"/>
          <w:kern w:val="2"/>
          <w:sz w:val="32"/>
          <w:szCs w:val="32"/>
          <w:highlight w:val="none"/>
          <w:lang w:val="en-US" w:eastAsia="zh-CN"/>
          <w14:textFill>
            <w14:solidFill>
              <w14:schemeClr w14:val="tx1"/>
            </w14:solidFill>
          </w14:textFill>
        </w:rPr>
        <w:t>4</w:t>
      </w:r>
      <w:r>
        <w:rPr>
          <w:rFonts w:hint="eastAsia" w:ascii="仿宋" w:hAnsi="仿宋" w:eastAsia="仿宋" w:cs="仿宋_GB2312"/>
          <w:b/>
          <w:bCs/>
          <w:color w:val="000000" w:themeColor="text1"/>
          <w:kern w:val="2"/>
          <w:sz w:val="32"/>
          <w:szCs w:val="32"/>
          <w:highlight w:val="none"/>
          <w14:textFill>
            <w14:solidFill>
              <w14:schemeClr w14:val="tx1"/>
            </w14:solidFill>
          </w14:textFill>
        </w:rPr>
        <w:t>.</w:t>
      </w:r>
      <w:r>
        <w:rPr>
          <w:rFonts w:hint="eastAsia" w:ascii="仿宋_GB2312" w:hAnsi="仿宋_GB2312" w:eastAsia="仿宋_GB2312" w:cs="仿宋_GB2312"/>
          <w:b/>
          <w:color w:val="000000" w:themeColor="text1"/>
          <w:kern w:val="0"/>
          <w:sz w:val="32"/>
          <w:szCs w:val="32"/>
          <w:shd w:val="clear" w:color="auto" w:fill="FEFEFE"/>
          <w:lang w:val="en-US" w:eastAsia="zh-CN" w:bidi="ar"/>
          <w14:textFill>
            <w14:solidFill>
              <w14:schemeClr w14:val="tx1"/>
            </w14:solidFill>
          </w14:textFill>
        </w:rPr>
        <w:t>面试内容与分值：</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届时由评委在面试指定教材中，随机设定若干课题。同一学科考生抽签确定面试顺序后，由第1位面试考生随机抽取一个课题（同一学科同一课题，下同）。考生根据抽选课题的教学内容，设计教学方案时间60分钟，不评分；课堂片段教学时间10分钟，分值100分（即面试成绩）。</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EFEFE"/>
          <w:lang w:val="en-US" w:eastAsia="zh-CN" w:bidi="ar"/>
          <w14:textFill>
            <w14:solidFill>
              <w14:schemeClr w14:val="tx1"/>
            </w14:solidFill>
          </w14:textFill>
        </w:rPr>
        <w:t>5.使用教材：</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以现行城厢区中小学使用教材为准（具体见附件2）。</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shd w:val="clear" w:color="auto" w:fill="FEFEFE"/>
          <w:lang w:val="en-US" w:eastAsia="zh-CN" w:bidi="ar"/>
          <w14:textFill>
            <w14:solidFill>
              <w14:schemeClr w14:val="tx1"/>
            </w14:solidFill>
          </w14:textFill>
        </w:rPr>
        <w:t>6.计分办法：</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笔试成绩和面试成绩实行百分制，考试总成绩按笔试成绩占70％和面试成绩占30％的比例分别计算，每次均按“四舍五入”保留两位小数。超过1：1比例进入面试的，面试成绩必须达70分以上（含70分），方为合格；按1：1比例进入面试的（含面试时因其他考生放弃造成1：1比例的），面试成绩必须达80分以上（含80分），方为合格。若同一学科出现考试总分并列的，以笔试成绩高者为先；若笔试成绩相同的，进行加试面试，并以加试成绩高者为先。</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面试评分采取去掉最高分、最低分各1个，取平均分为考生最后面试得分（按“四舍五入”保留两位小数）。</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六、体检和考察</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_GB2312" w:hAnsi="楷体_GB2312" w:eastAsia="楷体_GB2312" w:cs="楷体_GB2312"/>
          <w:b/>
          <w:color w:val="000000" w:themeColor="text1"/>
          <w:kern w:val="0"/>
          <w:sz w:val="32"/>
          <w:szCs w:val="32"/>
          <w14:textFill>
            <w14:solidFill>
              <w14:schemeClr w14:val="tx1"/>
            </w14:solidFill>
          </w14:textFill>
        </w:rPr>
      </w:pPr>
      <w:r>
        <w:rPr>
          <w:rFonts w:hint="eastAsia" w:ascii="楷体_GB2312" w:hAnsi="楷体_GB2312" w:eastAsia="楷体_GB2312" w:cs="楷体_GB2312"/>
          <w:b/>
          <w:color w:val="000000" w:themeColor="text1"/>
          <w:kern w:val="0"/>
          <w:sz w:val="32"/>
          <w:szCs w:val="32"/>
          <w14:textFill>
            <w14:solidFill>
              <w14:schemeClr w14:val="tx1"/>
            </w14:solidFill>
          </w14:textFill>
        </w:rPr>
        <w:t>（一）体检</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14:textFill>
            <w14:solidFill>
              <w14:schemeClr w14:val="tx1"/>
            </w14:solidFill>
          </w14:textFill>
        </w:rPr>
        <w:t>1.</w:t>
      </w:r>
      <w:r>
        <w:rPr>
          <w:rFonts w:hint="eastAsia" w:ascii="仿宋_GB2312" w:hAnsi="仿宋_GB2312" w:eastAsia="仿宋_GB2312" w:cs="仿宋_GB2312"/>
          <w:b/>
          <w:bCs/>
          <w:color w:val="000000" w:themeColor="text1"/>
          <w:spacing w:val="-4"/>
          <w:kern w:val="0"/>
          <w:sz w:val="32"/>
          <w:szCs w:val="32"/>
          <w:shd w:val="clear" w:color="auto" w:fill="FFFFFF"/>
          <w14:textFill>
            <w14:solidFill>
              <w14:schemeClr w14:val="tx1"/>
            </w14:solidFill>
          </w14:textFill>
        </w:rPr>
        <w:t>人员确定。</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根据岗位计划聘用人数，按1:1的比例，在考试总成绩合格的人员中，从高分到低分，确定参加体检人选。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14:textFill>
            <w14:solidFill>
              <w14:schemeClr w14:val="tx1"/>
            </w14:solidFill>
          </w14:textFill>
        </w:rPr>
        <w:t>2.体检标准。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按照《关于修订〈公务员录用体检通用标准（试行）〉及〈公务员录用体检操作手册（试行）〉有关内容的通知》(人社部发〔2016〕140号)和《中共中央组织部办公厅 国家卫生健康委办公厅关于调整公务员录用体检有关项目检查标准的通知》规定的项目和标准执行。报考者或招聘单位对体检结果有疑</w:t>
      </w:r>
      <w:r>
        <w:rPr>
          <w:rFonts w:hint="eastAsia" w:ascii="仿宋_GB2312" w:hAnsi="仿宋_GB2312" w:eastAsia="仿宋_GB2312" w:cs="仿宋_GB2312"/>
          <w:color w:val="000000" w:themeColor="text1"/>
          <w:sz w:val="32"/>
          <w:szCs w:val="32"/>
          <w14:textFill>
            <w14:solidFill>
              <w14:schemeClr w14:val="tx1"/>
            </w14:solidFill>
          </w14:textFill>
        </w:rPr>
        <w:t>问的，可在得知体检结论的7天内提出复检，逾期视为放弃，复检只能进行一次，以复检结果为准。女性报考者因怀孕需申请延期体检的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，须提供怀孕的医学证明并与教育行政主管部门约定延缓体检的期限。</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凡在体检中弄虚作假或者隐瞒真实情况的报考者，不予聘用或取消聘用。体检缺席者，取消聘用资格。</w:t>
      </w:r>
    </w:p>
    <w:p>
      <w:pPr>
        <w:keepNext w:val="0"/>
        <w:keepLines w:val="0"/>
        <w:pageBreakBefore w:val="0"/>
        <w:widowControl/>
        <w:kinsoku/>
        <w:wordWrap/>
        <w:overflowPunct/>
        <w:topLinePunct w:val="0"/>
        <w:autoSpaceDE/>
        <w:autoSpaceDN/>
        <w:bidi w:val="0"/>
        <w:adjustRightInd/>
        <w:snapToGrid/>
        <w:spacing w:line="560" w:lineRule="exact"/>
        <w:ind w:firstLine="562"/>
        <w:jc w:val="both"/>
        <w:textAlignment w:val="auto"/>
        <w:outlineLvl w:val="1"/>
        <w:rPr>
          <w:rFonts w:hint="eastAsia" w:ascii="楷体_GB2312" w:hAnsi="楷体_GB2312" w:eastAsia="楷体_GB2312" w:cs="楷体_GB2312"/>
          <w:b/>
          <w:color w:val="000000" w:themeColor="text1"/>
          <w:kern w:val="0"/>
          <w:sz w:val="32"/>
          <w:szCs w:val="32"/>
          <w14:textFill>
            <w14:solidFill>
              <w14:schemeClr w14:val="tx1"/>
            </w14:solidFill>
          </w14:textFill>
        </w:rPr>
      </w:pPr>
      <w:r>
        <w:rPr>
          <w:rFonts w:hint="eastAsia" w:ascii="楷体_GB2312" w:hAnsi="楷体_GB2312" w:eastAsia="楷体_GB2312" w:cs="楷体_GB2312"/>
          <w:b/>
          <w:color w:val="000000" w:themeColor="text1"/>
          <w:kern w:val="0"/>
          <w:sz w:val="32"/>
          <w:szCs w:val="32"/>
          <w14:textFill>
            <w14:solidFill>
              <w14:schemeClr w14:val="tx1"/>
            </w14:solidFill>
          </w14:textFill>
        </w:rPr>
        <w:t>（二）考察</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招聘单位主管部门按1：1比例对面试、体检均合格的报考者组织考察。</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考察包括核实报考者是否符合规定的报考条件，确认其报名时提交的信息和材料是否真实、准确，重点考核应聘人员的思想政治表现、专业是否对应、业务能力、工作实绩以及是否需要回避等方面的情况。考察对象被法院列为失信被执行人或被国家有关部门列为失信被惩戒对象的，取消聘用资格。</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未按时体检的，视为自动放弃；考察、体检不合格或自动放弃的，按成绩排名顺序在合格线以上考生中依次递补。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Cs/>
          <w:color w:val="000000" w:themeColor="text1"/>
          <w:kern w:val="0"/>
          <w:sz w:val="32"/>
          <w:szCs w:val="32"/>
          <w14:textFill>
            <w14:solidFill>
              <w14:schemeClr w14:val="tx1"/>
            </w14:solidFill>
          </w14:textFill>
        </w:rPr>
      </w:pPr>
      <w:r>
        <w:rPr>
          <w:rFonts w:hint="eastAsia" w:ascii="黑体" w:hAnsi="黑体" w:eastAsia="黑体" w:cs="黑体"/>
          <w:bCs/>
          <w:color w:val="000000" w:themeColor="text1"/>
          <w:kern w:val="0"/>
          <w:sz w:val="32"/>
          <w:szCs w:val="32"/>
          <w14:textFill>
            <w14:solidFill>
              <w14:schemeClr w14:val="tx1"/>
            </w14:solidFill>
          </w14:textFill>
        </w:rPr>
        <w:t>七、公示</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黑体" w:hAnsi="黑体" w:eastAsia="黑体" w:cs="黑体"/>
          <w:bCs/>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招聘单位主管部门按规定的条件、程序和标准，集体研究确定</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考试总成绩</w:t>
      </w:r>
      <w:r>
        <w:rPr>
          <w:rFonts w:hint="default" w:ascii="Times New Roman" w:hAnsi="Times New Roman" w:eastAsia="仿宋_GB2312" w:cs="Times New Roman"/>
          <w:color w:val="000000" w:themeColor="text1"/>
          <w:sz w:val="32"/>
          <w:szCs w:val="32"/>
          <w14:textFill>
            <w14:solidFill>
              <w14:schemeClr w14:val="tx1"/>
            </w14:solidFill>
          </w14:textFill>
        </w:rPr>
        <w:t>、体检结果和考察情况都合格的人员为拟聘用人选，</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并</w:t>
      </w:r>
      <w:r>
        <w:rPr>
          <w:rFonts w:hint="default" w:ascii="Times New Roman" w:hAnsi="Times New Roman" w:eastAsia="仿宋_GB2312" w:cs="Times New Roman"/>
          <w:color w:val="000000" w:themeColor="text1"/>
          <w:sz w:val="32"/>
          <w:szCs w:val="32"/>
          <w14:textFill>
            <w14:solidFill>
              <w14:schemeClr w14:val="tx1"/>
            </w14:solidFill>
          </w14:textFill>
        </w:rPr>
        <w:t>在城厢区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人民</w:t>
      </w:r>
      <w:r>
        <w:rPr>
          <w:rFonts w:hint="default" w:ascii="Times New Roman" w:hAnsi="Times New Roman" w:eastAsia="仿宋_GB2312" w:cs="Times New Roman"/>
          <w:color w:val="000000" w:themeColor="text1"/>
          <w:sz w:val="32"/>
          <w:szCs w:val="32"/>
          <w14:textFill>
            <w14:solidFill>
              <w14:schemeClr w14:val="tx1"/>
            </w14:solidFill>
          </w14:textFill>
        </w:rPr>
        <w:t>政府</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网</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站</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教育专栏公告栏</w:t>
      </w:r>
      <w:r>
        <w:rPr>
          <w:rFonts w:hint="default" w:ascii="Times New Roman" w:hAnsi="Times New Roman" w:eastAsia="仿宋_GB2312" w:cs="Times New Roman"/>
          <w:color w:val="000000" w:themeColor="text1"/>
          <w:sz w:val="32"/>
          <w:szCs w:val="32"/>
          <w14:textFill>
            <w14:solidFill>
              <w14:schemeClr w14:val="tx1"/>
            </w14:solidFill>
          </w14:textFill>
        </w:rPr>
        <w:t>进行</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7个</w:t>
      </w:r>
      <w:r>
        <w:rPr>
          <w:rFonts w:hint="default" w:ascii="Times New Roman" w:hAnsi="Times New Roman" w:eastAsia="仿宋_GB2312" w:cs="Times New Roman"/>
          <w:color w:val="000000" w:themeColor="text1"/>
          <w:sz w:val="32"/>
          <w:szCs w:val="32"/>
          <w14:textFill>
            <w14:solidFill>
              <w14:schemeClr w14:val="tx1"/>
            </w14:solidFill>
          </w14:textFill>
        </w:rPr>
        <w:t>工作日的公示。</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0"/>
        <w:rPr>
          <w:rFonts w:hint="default"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lang w:val="en-US" w:eastAsia="zh-CN"/>
          <w14:textFill>
            <w14:solidFill>
              <w14:schemeClr w14:val="tx1"/>
            </w14:solidFill>
          </w14:textFill>
        </w:rPr>
        <w:t>八、</w:t>
      </w:r>
      <w:r>
        <w:rPr>
          <w:rFonts w:hint="default" w:ascii="Times New Roman" w:hAnsi="Times New Roman" w:eastAsia="黑体" w:cs="Times New Roman"/>
          <w:bCs/>
          <w:color w:val="000000" w:themeColor="text1"/>
          <w:sz w:val="32"/>
          <w:szCs w:val="32"/>
          <w14:textFill>
            <w14:solidFill>
              <w14:schemeClr w14:val="tx1"/>
            </w14:solidFill>
          </w14:textFill>
        </w:rPr>
        <w:t>岗位选择</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经考核成绩合格</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且体检、</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考察</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结果合格的</w:t>
      </w:r>
      <w:r>
        <w:rPr>
          <w:rFonts w:hint="default" w:ascii="Times New Roman" w:hAnsi="Times New Roman" w:eastAsia="仿宋_GB2312" w:cs="Times New Roman"/>
          <w:color w:val="000000" w:themeColor="text1"/>
          <w:sz w:val="32"/>
          <w:szCs w:val="32"/>
          <w14:textFill>
            <w14:solidFill>
              <w14:schemeClr w14:val="tx1"/>
            </w14:solidFill>
          </w14:textFill>
        </w:rPr>
        <w:t>拟聘用人选根据招聘岗位数，按</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考试总成绩</w:t>
      </w:r>
      <w:r>
        <w:rPr>
          <w:rFonts w:hint="default" w:ascii="Times New Roman" w:hAnsi="Times New Roman" w:eastAsia="仿宋_GB2312" w:cs="Times New Roman"/>
          <w:color w:val="000000" w:themeColor="text1"/>
          <w:sz w:val="32"/>
          <w:szCs w:val="32"/>
          <w14:textFill>
            <w14:solidFill>
              <w14:schemeClr w14:val="tx1"/>
            </w14:solidFill>
          </w14:textFill>
        </w:rPr>
        <w:t>高低选择学校后签订就业意向书</w:t>
      </w:r>
      <w:r>
        <w:rPr>
          <w:rFonts w:hint="default" w:ascii="Times New Roman" w:hAnsi="Times New Roman" w:eastAsia="仿宋_GB2312" w:cs="Times New Roman"/>
          <w:bCs/>
          <w:color w:val="000000" w:themeColor="text1"/>
          <w:sz w:val="32"/>
          <w:szCs w:val="32"/>
          <w14:textFill>
            <w14:solidFill>
              <w14:schemeClr w14:val="tx1"/>
            </w14:solidFill>
          </w14:textFill>
        </w:rPr>
        <w:t>（不同学校招聘同一岗位的，由考生按总成绩高低顺序依次选择学校）。</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0"/>
        <w:rPr>
          <w:rFonts w:hint="default" w:ascii="Times New Roman" w:hAnsi="Times New Roman" w:eastAsia="黑体" w:cs="Times New Roman"/>
          <w:bCs/>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lang w:val="en-US" w:eastAsia="zh-CN"/>
          <w14:textFill>
            <w14:solidFill>
              <w14:schemeClr w14:val="tx1"/>
            </w14:solidFill>
          </w14:textFill>
        </w:rPr>
        <w:t>九</w:t>
      </w:r>
      <w:r>
        <w:rPr>
          <w:rFonts w:hint="default" w:ascii="Times New Roman" w:hAnsi="Times New Roman" w:eastAsia="黑体" w:cs="Times New Roman"/>
          <w:bCs/>
          <w:color w:val="000000" w:themeColor="text1"/>
          <w:sz w:val="32"/>
          <w:szCs w:val="32"/>
          <w14:textFill>
            <w14:solidFill>
              <w14:schemeClr w14:val="tx1"/>
            </w14:solidFill>
          </w14:textFill>
        </w:rPr>
        <w:t>、聘用</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经公示不影响聘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用的，</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城厢区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人力资源和社会保障</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予以核准，并按有关规定办理聘用手续，最低服务年限5年。</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bCs/>
          <w:color w:val="000000" w:themeColor="text1"/>
          <w:sz w:val="32"/>
          <w:szCs w:val="32"/>
          <w:lang w:val="en-US" w:eastAsia="zh-CN"/>
          <w14:textFill>
            <w14:solidFill>
              <w14:schemeClr w14:val="tx1"/>
            </w14:solidFill>
          </w14:textFill>
        </w:rPr>
        <w:t>十</w:t>
      </w:r>
      <w:r>
        <w:rPr>
          <w:rFonts w:hint="default" w:ascii="Times New Roman" w:hAnsi="Times New Roman" w:eastAsia="黑体" w:cs="Times New Roman"/>
          <w:bCs/>
          <w:color w:val="000000" w:themeColor="text1"/>
          <w:sz w:val="32"/>
          <w:szCs w:val="32"/>
          <w14:textFill>
            <w14:solidFill>
              <w14:schemeClr w14:val="tx1"/>
            </w14:solidFill>
          </w14:textFill>
        </w:rPr>
        <w:t>、招聘联系方式</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联系</w:t>
      </w:r>
      <w:r>
        <w:rPr>
          <w:rFonts w:hint="default" w:ascii="Times New Roman" w:hAnsi="Times New Roman" w:eastAsia="仿宋_GB2312" w:cs="Times New Roman"/>
          <w:color w:val="000000" w:themeColor="text1"/>
          <w:sz w:val="32"/>
          <w:szCs w:val="32"/>
          <w14:textFill>
            <w14:solidFill>
              <w14:schemeClr w14:val="tx1"/>
            </w14:solidFill>
          </w14:textFill>
        </w:rPr>
        <w:t>电话</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1805992</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3579 ；</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电话</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开通时间为：工作日上午8:</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30</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-12:00，下午14:</w:t>
      </w:r>
      <w:r>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t>30</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-17:30</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联系地址：莆田市</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城厢区荔城中大道750号</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公开招聘相关事宜均在城厢区人民政府网-专题专栏-教育专栏（网址：</w:t>
      </w:r>
      <w:r>
        <w:rPr>
          <w:rFonts w:hint="default" w:ascii="仿宋_GB2312" w:hAnsi="仿宋_GB2312" w:eastAsia="仿宋_GB2312" w:cs="仿宋_GB2312"/>
          <w:bCs/>
          <w:color w:val="000000" w:themeColor="text1"/>
          <w:spacing w:val="-20"/>
          <w:kern w:val="0"/>
          <w:sz w:val="32"/>
          <w:szCs w:val="32"/>
          <w:lang w:val="en-US" w:eastAsia="zh-CN"/>
          <w14:textFill>
            <w14:solidFill>
              <w14:schemeClr w14:val="tx1"/>
            </w14:solidFill>
          </w14:textFill>
        </w:rPr>
        <w:t>http://www.chengxiang.gov.cn/ztzl/jyzt/）</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上公布，敬请关注。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0"/>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十</w:t>
      </w:r>
      <w:r>
        <w:rPr>
          <w:rFonts w:hint="eastAsia" w:ascii="Times New Roman" w:hAnsi="Times New Roman" w:eastAsia="黑体" w:cs="Times New Roman"/>
          <w:bCs/>
          <w:color w:val="000000" w:themeColor="text1"/>
          <w:sz w:val="32"/>
          <w:szCs w:val="32"/>
          <w:lang w:val="en-US" w:eastAsia="zh-CN"/>
          <w14:textFill>
            <w14:solidFill>
              <w14:schemeClr w14:val="tx1"/>
            </w14:solidFill>
          </w14:textFill>
        </w:rPr>
        <w:t>一</w:t>
      </w:r>
      <w:r>
        <w:rPr>
          <w:rFonts w:hint="default" w:ascii="Times New Roman" w:hAnsi="Times New Roman" w:eastAsia="黑体" w:cs="Times New Roman"/>
          <w:bCs/>
          <w:color w:val="000000" w:themeColor="text1"/>
          <w:sz w:val="32"/>
          <w:szCs w:val="32"/>
          <w14:textFill>
            <w14:solidFill>
              <w14:schemeClr w14:val="tx1"/>
            </w14:solidFill>
          </w14:textFill>
        </w:rPr>
        <w:t>、监督</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本次招聘工作由城厢区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人力资源和社会保障</w:t>
      </w:r>
      <w:r>
        <w:rPr>
          <w:rFonts w:hint="default" w:ascii="Times New Roman" w:hAnsi="Times New Roman" w:eastAsia="仿宋_GB2312" w:cs="Times New Roman"/>
          <w:color w:val="000000" w:themeColor="text1"/>
          <w:sz w:val="32"/>
          <w:szCs w:val="32"/>
          <w14:textFill>
            <w14:solidFill>
              <w14:schemeClr w14:val="tx1"/>
            </w14:solidFill>
          </w14:textFill>
        </w:rPr>
        <w:t>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城厢区教育局共同组织实施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城厢区纪委驻</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区委</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宣传部纪检</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监察</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对公开招聘工作实行全过程监督</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监督电话</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：0594-2653799</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招聘有关事项参照国家、省、市公务员及事业单位相关规定执行，未尽事宜由</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城厢区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招聘工作领导小组负责解释。</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宋体"/>
          <w:color w:val="000000" w:themeColor="text1"/>
          <w:kern w:val="0"/>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附件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学技能考试（片段教学）使用教材</w:t>
      </w:r>
    </w:p>
    <w:p>
      <w:pPr>
        <w:pStyle w:val="6"/>
        <w:keepNext w:val="0"/>
        <w:keepLines w:val="0"/>
        <w:widowControl/>
        <w:suppressLineNumbers w:val="0"/>
        <w:spacing w:line="420" w:lineRule="atLeast"/>
        <w:ind w:left="0" w:firstLine="420"/>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pPr>
        <w:pStyle w:val="6"/>
        <w:keepNext w:val="0"/>
        <w:keepLines w:val="0"/>
        <w:widowControl/>
        <w:suppressLineNumbers w:val="0"/>
        <w:spacing w:line="420" w:lineRule="atLeast"/>
        <w:ind w:left="0" w:firstLine="420"/>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pPr>
        <w:pStyle w:val="6"/>
        <w:keepNext w:val="0"/>
        <w:keepLines w:val="0"/>
        <w:widowControl/>
        <w:suppressLineNumbers w:val="0"/>
        <w:spacing w:line="420" w:lineRule="atLeast"/>
        <w:ind w:left="0" w:firstLine="420"/>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pPr>
        <w:pStyle w:val="6"/>
        <w:keepNext w:val="0"/>
        <w:keepLines w:val="0"/>
        <w:widowControl/>
        <w:suppressLineNumbers w:val="0"/>
        <w:spacing w:line="420" w:lineRule="atLeast"/>
        <w:ind w:left="0" w:firstLine="420"/>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pPr>
        <w:pStyle w:val="6"/>
        <w:keepNext w:val="0"/>
        <w:keepLines w:val="0"/>
        <w:widowControl/>
        <w:suppressLineNumbers w:val="0"/>
        <w:spacing w:line="420" w:lineRule="atLeast"/>
        <w:ind w:left="0" w:firstLine="420"/>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pPr>
        <w:pStyle w:val="6"/>
        <w:keepNext w:val="0"/>
        <w:keepLines w:val="0"/>
        <w:widowControl/>
        <w:suppressLineNumbers w:val="0"/>
        <w:spacing w:line="420" w:lineRule="atLeast"/>
        <w:ind w:left="0" w:firstLine="420"/>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pPr>
        <w:pStyle w:val="6"/>
        <w:keepNext w:val="0"/>
        <w:keepLines w:val="0"/>
        <w:widowControl/>
        <w:suppressLineNumbers w:val="0"/>
        <w:spacing w:line="420" w:lineRule="atLeast"/>
        <w:ind w:left="0" w:firstLine="420"/>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pPr>
        <w:pStyle w:val="6"/>
        <w:keepNext w:val="0"/>
        <w:keepLines w:val="0"/>
        <w:widowControl/>
        <w:suppressLineNumbers w:val="0"/>
        <w:spacing w:line="420" w:lineRule="atLeast"/>
        <w:ind w:left="0" w:firstLine="420"/>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pPr>
        <w:pStyle w:val="6"/>
        <w:keepNext w:val="0"/>
        <w:keepLines w:val="0"/>
        <w:widowControl/>
        <w:suppressLineNumbers w:val="0"/>
        <w:spacing w:line="420" w:lineRule="atLeast"/>
        <w:ind w:left="0" w:firstLine="420"/>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pPr>
        <w:pStyle w:val="6"/>
        <w:keepNext w:val="0"/>
        <w:keepLines w:val="0"/>
        <w:widowControl/>
        <w:suppressLineNumbers w:val="0"/>
        <w:spacing w:line="420" w:lineRule="atLeast"/>
        <w:ind w:left="0" w:firstLine="420"/>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000000" w:themeColor="text1"/>
          <w:spacing w:val="0"/>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000000" w:themeColor="text1"/>
          <w:spacing w:val="0"/>
          <w:sz w:val="32"/>
          <w:szCs w:val="32"/>
          <w:lang w:eastAsia="zh-CN"/>
          <w14:textFill>
            <w14:solidFill>
              <w14:schemeClr w14:val="tx1"/>
            </w14:solidFill>
          </w14:textFill>
        </w:rPr>
      </w:pPr>
      <w:r>
        <w:rPr>
          <w:rFonts w:hint="eastAsia" w:ascii="黑体" w:hAnsi="黑体" w:eastAsia="黑体"/>
          <w:color w:val="000000" w:themeColor="text1"/>
          <w:spacing w:val="0"/>
          <w:sz w:val="32"/>
          <w:szCs w:val="32"/>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before="156" w:beforeLines="50" w:after="313" w:afterLines="100" w:line="560" w:lineRule="exact"/>
        <w:jc w:val="center"/>
        <w:textAlignment w:val="auto"/>
        <w:outlineLvl w:val="0"/>
        <w:rPr>
          <w:rFonts w:hint="eastAsia" w:ascii="方正小标宋简体" w:hAnsi="黑体" w:eastAsia="方正小标宋简体" w:cs="黑体"/>
          <w:b/>
          <w:bCs/>
          <w:color w:val="000000" w:themeColor="text1"/>
          <w:spacing w:val="0"/>
          <w:sz w:val="36"/>
          <w:szCs w:val="36"/>
          <w14:textFill>
            <w14:solidFill>
              <w14:schemeClr w14:val="tx1"/>
            </w14:solidFill>
          </w14:textFill>
        </w:rPr>
      </w:pPr>
      <w:r>
        <w:rPr>
          <w:rFonts w:hint="default" w:ascii="仿宋_GB2312" w:hAnsi="仿宋_GB2312" w:eastAsia="仿宋_GB2312" w:cs="仿宋_GB2312"/>
          <w:b/>
          <w:bCs/>
          <w:color w:val="000000" w:themeColor="text1"/>
          <w:kern w:val="2"/>
          <w:sz w:val="36"/>
          <w:szCs w:val="36"/>
          <w:lang w:val="en-US" w:eastAsia="zh-CN" w:bidi="ar-SA"/>
          <w14:textFill>
            <w14:solidFill>
              <w14:schemeClr w14:val="tx1"/>
            </w14:solidFill>
          </w14:textFill>
        </w:rPr>
        <w:t>教</w:t>
      </w:r>
      <w:r>
        <w:rPr>
          <w:rFonts w:hint="default" w:ascii="Times New Roman" w:hAnsi="Times New Roman" w:eastAsia="仿宋_GB2312" w:cs="Times New Roman"/>
          <w:b/>
          <w:bCs/>
          <w:color w:val="000000" w:themeColor="text1"/>
          <w:sz w:val="36"/>
          <w:szCs w:val="36"/>
          <w:lang w:val="en-US" w:eastAsia="zh-CN"/>
          <w14:textFill>
            <w14:solidFill>
              <w14:schemeClr w14:val="tx1"/>
            </w14:solidFill>
          </w14:textFill>
        </w:rPr>
        <w:t>学技能考试（片段教学）使用教材</w:t>
      </w:r>
    </w:p>
    <w:tbl>
      <w:tblPr>
        <w:tblStyle w:val="7"/>
        <w:tblW w:w="6825" w:type="dxa"/>
        <w:jc w:val="center"/>
        <w:tblLayout w:type="fixed"/>
        <w:tblCellMar>
          <w:top w:w="0" w:type="dxa"/>
          <w:left w:w="0" w:type="dxa"/>
          <w:bottom w:w="0" w:type="dxa"/>
          <w:right w:w="0" w:type="dxa"/>
        </w:tblCellMar>
      </w:tblPr>
      <w:tblGrid>
        <w:gridCol w:w="694"/>
        <w:gridCol w:w="869"/>
        <w:gridCol w:w="945"/>
        <w:gridCol w:w="2387"/>
        <w:gridCol w:w="1930"/>
      </w:tblGrid>
      <w:tr>
        <w:tblPrEx>
          <w:tblCellMar>
            <w:top w:w="0" w:type="dxa"/>
            <w:left w:w="0" w:type="dxa"/>
            <w:bottom w:w="0" w:type="dxa"/>
            <w:right w:w="0" w:type="dxa"/>
          </w:tblCellMar>
        </w:tblPrEx>
        <w:trPr>
          <w:trHeight w:val="680" w:hRule="exact"/>
          <w:tblHeader/>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b/>
                <w:bCs/>
                <w:color w:val="000000" w:themeColor="text1"/>
                <w:spacing w:val="0"/>
                <w:sz w:val="24"/>
                <w:szCs w:val="24"/>
                <w14:textFill>
                  <w14:solidFill>
                    <w14:schemeClr w14:val="tx1"/>
                  </w14:solidFill>
                </w14:textFill>
              </w:rPr>
            </w:pPr>
            <w:r>
              <w:rPr>
                <w:rFonts w:hint="eastAsia" w:ascii="仿宋_GB2312" w:hAnsi="仿宋_GB2312" w:eastAsia="仿宋_GB2312" w:cs="仿宋_GB2312"/>
                <w:b/>
                <w:bCs/>
                <w:color w:val="000000" w:themeColor="text1"/>
                <w:spacing w:val="0"/>
                <w:kern w:val="0"/>
                <w:sz w:val="24"/>
                <w:szCs w:val="24"/>
                <w:lang w:bidi="ar"/>
                <w14:textFill>
                  <w14:solidFill>
                    <w14:schemeClr w14:val="tx1"/>
                  </w14:solidFill>
                </w14:textFill>
              </w:rPr>
              <w:t>序号</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b/>
                <w:bCs/>
                <w:color w:val="000000" w:themeColor="text1"/>
                <w:spacing w:val="0"/>
                <w:sz w:val="24"/>
                <w:szCs w:val="24"/>
                <w14:textFill>
                  <w14:solidFill>
                    <w14:schemeClr w14:val="tx1"/>
                  </w14:solidFill>
                </w14:textFill>
              </w:rPr>
            </w:pPr>
            <w:r>
              <w:rPr>
                <w:rFonts w:hint="eastAsia" w:ascii="仿宋_GB2312" w:hAnsi="仿宋_GB2312" w:eastAsia="仿宋_GB2312" w:cs="仿宋_GB2312"/>
                <w:b/>
                <w:bCs/>
                <w:color w:val="000000" w:themeColor="text1"/>
                <w:spacing w:val="0"/>
                <w:kern w:val="0"/>
                <w:sz w:val="24"/>
                <w:szCs w:val="24"/>
                <w:lang w:bidi="ar"/>
                <w14:textFill>
                  <w14:solidFill>
                    <w14:schemeClr w14:val="tx1"/>
                  </w14:solidFill>
                </w14:textFill>
              </w:rPr>
              <w:t>学段</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b/>
                <w:bCs/>
                <w:color w:val="000000" w:themeColor="text1"/>
                <w:spacing w:val="0"/>
                <w:sz w:val="24"/>
                <w:szCs w:val="24"/>
                <w14:textFill>
                  <w14:solidFill>
                    <w14:schemeClr w14:val="tx1"/>
                  </w14:solidFill>
                </w14:textFill>
              </w:rPr>
            </w:pPr>
            <w:r>
              <w:rPr>
                <w:rFonts w:hint="eastAsia" w:ascii="仿宋_GB2312" w:hAnsi="仿宋_GB2312" w:eastAsia="仿宋_GB2312" w:cs="仿宋_GB2312"/>
                <w:b/>
                <w:bCs/>
                <w:color w:val="000000" w:themeColor="text1"/>
                <w:spacing w:val="0"/>
                <w:kern w:val="0"/>
                <w:sz w:val="24"/>
                <w:szCs w:val="24"/>
                <w:lang w:bidi="ar"/>
                <w14:textFill>
                  <w14:solidFill>
                    <w14:schemeClr w14:val="tx1"/>
                  </w14:solidFill>
                </w14:textFill>
              </w:rPr>
              <w:t>学科</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b/>
                <w:bCs/>
                <w:color w:val="000000" w:themeColor="text1"/>
                <w:spacing w:val="0"/>
                <w:sz w:val="24"/>
                <w:szCs w:val="24"/>
                <w14:textFill>
                  <w14:solidFill>
                    <w14:schemeClr w14:val="tx1"/>
                  </w14:solidFill>
                </w14:textFill>
              </w:rPr>
            </w:pPr>
            <w:r>
              <w:rPr>
                <w:rFonts w:hint="eastAsia" w:ascii="仿宋_GB2312" w:hAnsi="仿宋_GB2312" w:eastAsia="仿宋_GB2312" w:cs="仿宋_GB2312"/>
                <w:b/>
                <w:bCs/>
                <w:color w:val="000000" w:themeColor="text1"/>
                <w:spacing w:val="0"/>
                <w:kern w:val="0"/>
                <w:sz w:val="24"/>
                <w:szCs w:val="24"/>
                <w:lang w:bidi="ar"/>
                <w14:textFill>
                  <w14:solidFill>
                    <w14:schemeClr w14:val="tx1"/>
                  </w14:solidFill>
                </w14:textFill>
              </w:rPr>
              <w:t>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b/>
                <w:bCs/>
                <w:color w:val="000000" w:themeColor="text1"/>
                <w:spacing w:val="0"/>
                <w:sz w:val="24"/>
                <w:szCs w:val="24"/>
                <w14:textFill>
                  <w14:solidFill>
                    <w14:schemeClr w14:val="tx1"/>
                  </w14:solidFill>
                </w14:textFill>
              </w:rPr>
            </w:pPr>
            <w:r>
              <w:rPr>
                <w:rFonts w:hint="eastAsia" w:ascii="仿宋_GB2312" w:hAnsi="仿宋_GB2312" w:eastAsia="仿宋_GB2312" w:cs="仿宋_GB2312"/>
                <w:b/>
                <w:bCs/>
                <w:color w:val="000000" w:themeColor="text1"/>
                <w:spacing w:val="0"/>
                <w:kern w:val="0"/>
                <w:sz w:val="24"/>
                <w:szCs w:val="24"/>
                <w:lang w:bidi="ar"/>
                <w14:textFill>
                  <w14:solidFill>
                    <w14:schemeClr w14:val="tx1"/>
                  </w14:solidFill>
                </w14:textFill>
              </w:rPr>
              <w:t>版次</w:t>
            </w:r>
          </w:p>
        </w:tc>
      </w:tr>
      <w:tr>
        <w:tblPrEx>
          <w:tblCellMar>
            <w:top w:w="0" w:type="dxa"/>
            <w:left w:w="0" w:type="dxa"/>
            <w:bottom w:w="0" w:type="dxa"/>
            <w:right w:w="0" w:type="dxa"/>
          </w:tblCellMar>
        </w:tblPrEx>
        <w:trPr>
          <w:trHeight w:val="612"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sz w:val="24"/>
                <w:szCs w:val="24"/>
                <w14:textFill>
                  <w14:solidFill>
                    <w14:schemeClr w14:val="tx1"/>
                  </w14:solidFill>
                </w14:textFill>
              </w:rPr>
            </w:pPr>
            <w:r>
              <w:rPr>
                <w:rFonts w:hint="eastAsia" w:ascii="仿宋_GB2312" w:hAnsi="仿宋_GB2312" w:eastAsia="仿宋_GB2312" w:cs="仿宋_GB2312"/>
                <w:color w:val="000000" w:themeColor="text1"/>
                <w:spacing w:val="0"/>
                <w:sz w:val="24"/>
                <w:szCs w:val="24"/>
                <w14:textFill>
                  <w14:solidFill>
                    <w14:schemeClr w14:val="tx1"/>
                  </w14:solidFill>
                </w14:textFill>
              </w:rPr>
              <w:t>1</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14:textFill>
                  <w14:solidFill>
                    <w14:schemeClr w14:val="tx1"/>
                  </w14:solidFill>
                </w14:textFill>
              </w:rPr>
              <w:t>初中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24"/>
                <w:szCs w:val="24"/>
                <w14:textFill>
                  <w14:solidFill>
                    <w14:schemeClr w14:val="tx1"/>
                  </w14:solidFill>
                </w14:textFill>
              </w:rPr>
              <w:t>语文</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人民教育出版社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2025年10月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sz w:val="24"/>
                <w:szCs w:val="24"/>
                <w14:textFill>
                  <w14:solidFill>
                    <w14:schemeClr w14:val="tx1"/>
                  </w14:solidFill>
                </w14:textFill>
              </w:rPr>
            </w:pPr>
            <w:r>
              <w:rPr>
                <w:rFonts w:hint="eastAsia" w:ascii="仿宋_GB2312" w:hAnsi="仿宋_GB2312" w:eastAsia="仿宋_GB2312" w:cs="仿宋_GB2312"/>
                <w:color w:val="000000" w:themeColor="text1"/>
                <w:spacing w:val="0"/>
                <w:sz w:val="24"/>
                <w:szCs w:val="24"/>
                <w14:textFill>
                  <w14:solidFill>
                    <w14:schemeClr w14:val="tx1"/>
                  </w14:solidFill>
                </w14:textFill>
              </w:rPr>
              <w:t>2</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14:textFill>
                  <w14:solidFill>
                    <w14:schemeClr w14:val="tx1"/>
                  </w14:solidFill>
                </w14:textFill>
              </w:rPr>
              <w:t>初中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24"/>
                <w:szCs w:val="24"/>
                <w14:textFill>
                  <w14:solidFill>
                    <w14:schemeClr w14:val="tx1"/>
                  </w14:solidFill>
                </w14:textFill>
              </w:rPr>
              <w:t>数学</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人民教育出版社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2025年10月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sz w:val="24"/>
                <w:szCs w:val="24"/>
                <w14:textFill>
                  <w14:solidFill>
                    <w14:schemeClr w14:val="tx1"/>
                  </w14:solidFill>
                </w14:textFill>
              </w:rPr>
            </w:pPr>
            <w:r>
              <w:rPr>
                <w:rFonts w:hint="eastAsia" w:ascii="仿宋_GB2312" w:hAnsi="仿宋_GB2312" w:eastAsia="仿宋_GB2312" w:cs="仿宋_GB2312"/>
                <w:color w:val="000000" w:themeColor="text1"/>
                <w:spacing w:val="0"/>
                <w:sz w:val="24"/>
                <w:szCs w:val="24"/>
                <w14:textFill>
                  <w14:solidFill>
                    <w14:schemeClr w14:val="tx1"/>
                  </w14:solidFill>
                </w14:textFill>
              </w:rPr>
              <w:t>3</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lang w:val="en-US" w:eastAsia="zh-CN"/>
                <w14:textFill>
                  <w14:solidFill>
                    <w14:schemeClr w14:val="tx1"/>
                  </w14:solidFill>
                </w14:textFill>
              </w:rPr>
              <w:t>初中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pacing w:val="0"/>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24"/>
                <w:szCs w:val="24"/>
                <w:lang w:val="en-US" w:eastAsia="zh-CN"/>
                <w14:textFill>
                  <w14:solidFill>
                    <w14:schemeClr w14:val="tx1"/>
                  </w14:solidFill>
                </w14:textFill>
              </w:rPr>
              <w:t>英语</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科学普及出版社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2026年1月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sz w:val="24"/>
                <w:szCs w:val="24"/>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t>4</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14:textFill>
                  <w14:solidFill>
                    <w14:schemeClr w14:val="tx1"/>
                  </w14:solidFill>
                </w14:textFill>
              </w:rPr>
              <w:t>初中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24"/>
                <w:szCs w:val="24"/>
                <w:lang w:eastAsia="zh-CN"/>
                <w14:textFill>
                  <w14:solidFill>
                    <w14:schemeClr w14:val="tx1"/>
                  </w14:solidFill>
                </w14:textFill>
              </w:rPr>
              <w:t>物理</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人民教育出版社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2024年10月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sz w:val="24"/>
                <w:szCs w:val="24"/>
                <w:lang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t>5</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lang w:val="en-US" w:eastAsia="zh-CN"/>
                <w14:textFill>
                  <w14:solidFill>
                    <w14:schemeClr w14:val="tx1"/>
                  </w14:solidFill>
                </w14:textFill>
              </w:rPr>
              <w:t>初中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pacing w:val="0"/>
                <w:kern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24"/>
                <w:szCs w:val="24"/>
                <w:lang w:val="en-US" w:eastAsia="zh-CN"/>
                <w14:textFill>
                  <w14:solidFill>
                    <w14:schemeClr w14:val="tx1"/>
                  </w14:solidFill>
                </w14:textFill>
              </w:rPr>
              <w:t>历史</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人民教育出版社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2025年10月第1版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sz w:val="24"/>
                <w:szCs w:val="24"/>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t>6</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14:textFill>
                  <w14:solidFill>
                    <w14:schemeClr w14:val="tx1"/>
                  </w14:solidFill>
                </w14:textFill>
              </w:rPr>
              <w:t>初中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t>道德与法治</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人民教育出版社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2025年10月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第1版</w:t>
            </w:r>
          </w:p>
        </w:tc>
      </w:tr>
      <w:tr>
        <w:tblPrEx>
          <w:tblCellMar>
            <w:top w:w="0" w:type="dxa"/>
            <w:left w:w="0" w:type="dxa"/>
            <w:bottom w:w="0" w:type="dxa"/>
            <w:right w:w="0" w:type="dxa"/>
          </w:tblCellMar>
        </w:tblPrEx>
        <w:trPr>
          <w:trHeight w:val="680"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t>7</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14:textFill>
                  <w14:solidFill>
                    <w14:schemeClr w14:val="tx1"/>
                  </w14:solidFill>
                </w14:textFill>
              </w:rPr>
              <w:t>初中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24"/>
                <w:szCs w:val="24"/>
                <w:lang w:eastAsia="zh-CN"/>
                <w14:textFill>
                  <w14:solidFill>
                    <w14:schemeClr w14:val="tx1"/>
                  </w14:solidFill>
                </w14:textFill>
              </w:rPr>
              <w:t>地理</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湖南教育出版社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2025年12月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bidi="ar-SA"/>
                <w14:textFill>
                  <w14:solidFill>
                    <w14:schemeClr w14:val="tx1"/>
                  </w14:solidFill>
                </w14:textFill>
              </w:rPr>
              <w:t>第1版</w:t>
            </w:r>
          </w:p>
        </w:tc>
      </w:tr>
      <w:tr>
        <w:tblPrEx>
          <w:tblCellMar>
            <w:top w:w="0" w:type="dxa"/>
            <w:left w:w="0" w:type="dxa"/>
            <w:bottom w:w="0" w:type="dxa"/>
            <w:right w:w="0" w:type="dxa"/>
          </w:tblCellMar>
        </w:tblPrEx>
        <w:trPr>
          <w:trHeight w:val="597" w:hRule="exac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t>8</w:t>
            </w:r>
          </w:p>
        </w:tc>
        <w:tc>
          <w:tcPr>
            <w:tcW w:w="8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14:textFill>
                  <w14:solidFill>
                    <w14:schemeClr w14:val="tx1"/>
                  </w14:solidFill>
                </w14:textFill>
              </w:rPr>
              <w:t>初中</w:t>
            </w:r>
          </w:p>
        </w:tc>
        <w:tc>
          <w:tcPr>
            <w:tcW w:w="9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kern w:val="0"/>
                <w:sz w:val="24"/>
                <w:szCs w:val="24"/>
                <w:lang w:val="en-US" w:eastAsia="zh-CN"/>
                <w14:textFill>
                  <w14:solidFill>
                    <w14:schemeClr w14:val="tx1"/>
                  </w14:solidFill>
                </w14:textFill>
              </w:rPr>
              <w:t>生物</w:t>
            </w:r>
          </w:p>
        </w:tc>
        <w:tc>
          <w:tcPr>
            <w:tcW w:w="23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t>河北少年儿童出版社</w:t>
            </w:r>
          </w:p>
        </w:tc>
        <w:tc>
          <w:tcPr>
            <w:tcW w:w="19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t>2025年11月</w:t>
            </w:r>
          </w:p>
          <w:p>
            <w:pPr>
              <w:keepNext w:val="0"/>
              <w:keepLines w:val="0"/>
              <w:pageBreakBefore w:val="0"/>
              <w:widowControl/>
              <w:kinsoku/>
              <w:wordWrap/>
              <w:overflowPunct/>
              <w:topLinePunct w:val="0"/>
              <w:autoSpaceDE/>
              <w:autoSpaceDN/>
              <w:bidi w:val="0"/>
              <w:adjustRightInd/>
              <w:snapToGrid/>
              <w:spacing w:line="300" w:lineRule="atLeast"/>
              <w:jc w:val="center"/>
              <w:textAlignment w:val="center"/>
              <w:rPr>
                <w:rFonts w:hint="eastAsia" w:ascii="仿宋_GB2312" w:hAnsi="仿宋_GB2312" w:eastAsia="仿宋_GB2312" w:cs="仿宋_GB2312"/>
                <w:color w:val="000000" w:themeColor="text1"/>
                <w:spacing w:val="0"/>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sz w:val="24"/>
                <w:szCs w:val="24"/>
                <w:lang w:val="en-US" w:eastAsia="zh-CN"/>
                <w14:textFill>
                  <w14:solidFill>
                    <w14:schemeClr w14:val="tx1"/>
                  </w14:solidFill>
                </w14:textFill>
              </w:rPr>
              <w:t>第1版</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黑体" w:eastAsia="黑体"/>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黑体" w:eastAsia="黑体"/>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黑体" w:eastAsia="黑体"/>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黑体" w:eastAsia="黑体"/>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黑体" w:eastAsia="黑体"/>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黑体" w:eastAsia="黑体"/>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黑体" w:eastAsia="黑体"/>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黑体" w:eastAsia="黑体"/>
          <w:b/>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0" w:rightChars="0"/>
        <w:jc w:val="both"/>
        <w:textAlignment w:val="auto"/>
        <w:outlineLvl w:val="9"/>
        <w:rPr>
          <w:rFonts w:hint="eastAsia" w:ascii="黑体" w:eastAsia="黑体"/>
          <w:b/>
          <w:bCs/>
          <w:color w:val="000000" w:themeColor="text1"/>
          <w:sz w:val="32"/>
          <w:szCs w:val="32"/>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000000" w:themeColor="text1"/>
          <w:spacing w:val="0"/>
          <w:sz w:val="36"/>
          <w:szCs w:val="36"/>
          <w:lang w:val="en-US" w:eastAsia="zh-CN"/>
          <w14:textFill>
            <w14:solidFill>
              <w14:schemeClr w14:val="tx1"/>
            </w14:solidFill>
          </w14:textFill>
        </w:rPr>
      </w:pPr>
    </w:p>
    <w:p>
      <w:pPr>
        <w:rPr>
          <w:color w:val="000000" w:themeColor="text1"/>
          <w14:textFill>
            <w14:solidFill>
              <w14:schemeClr w14:val="tx1"/>
            </w14:solidFill>
          </w14:textFill>
        </w:rPr>
      </w:pPr>
    </w:p>
    <w:sectPr>
      <w:headerReference r:id="rId3" w:type="default"/>
      <w:footerReference r:id="rId4" w:type="default"/>
      <w:pgSz w:w="11906" w:h="16838"/>
      <w:pgMar w:top="1412" w:right="1134" w:bottom="1134" w:left="1134" w:header="851" w:footer="992" w:gutter="0"/>
      <w:pgNumType w:fmt="numberInDash"/>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- 13 -</w:t>
                          </w:r>
                          <w:r>
                            <w:rPr>
                              <w:rFonts w:hint="eastAsia" w:ascii="宋体" w:hAnsi="宋体" w:eastAsia="宋体" w:cs="宋体"/>
                              <w:sz w:val="24"/>
                              <w:szCs w:val="24"/>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&#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BoaYJL0wAAAAUBAAAPAAAAAAAAAAEAIAAAADgAAABk&#10;cnMvZG93bnJldi54bWxQSwECFAAUAAAACACHTuJAuQuBGbwBAABcAwAADgAAAAAAAAABACAAAAA4&#10;AQAAZHJzL2Uyb0RvYy54bWxQSwUGAAAAAAYABgBZAQAAZgUAAAAA&#10;">
              <v:fill on="f" focussize="0,0"/>
              <v:stroke on="f" weight="1.25pt"/>
              <v:imagedata o:title=""/>
              <o:lock v:ext="edit" aspectratio="f"/>
              <v:textbox inset="0mm,0mm,0mm,0mm" style="mso-fit-shape-to-text:t;">
                <w:txbxContent>
                  <w:p>
                    <w:pPr>
                      <w:pStyle w:val="4"/>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- 13 -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D58BA"/>
    <w:rsid w:val="132A707B"/>
    <w:rsid w:val="2D684463"/>
    <w:rsid w:val="38237904"/>
    <w:rsid w:val="47BE31A6"/>
    <w:rsid w:val="51B11D35"/>
    <w:rsid w:val="554B4A93"/>
    <w:rsid w:val="5B072F34"/>
    <w:rsid w:val="627E3805"/>
    <w:rsid w:val="66C20165"/>
    <w:rsid w:val="67191D4F"/>
    <w:rsid w:val="6D954A72"/>
    <w:rsid w:val="77DC71AA"/>
    <w:rsid w:val="7E9401E1"/>
    <w:rsid w:val="DFFF4F93"/>
    <w:rsid w:val="EFE9EE50"/>
    <w:rsid w:val="FB391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widowControl/>
      <w:spacing w:before="100" w:beforeAutospacing="1" w:after="100" w:afterAutospacing="1"/>
      <w:jc w:val="left"/>
      <w:outlineLvl w:val="3"/>
    </w:pPr>
    <w:rPr>
      <w:rFonts w:hint="eastAsia" w:ascii="宋体" w:hAnsi="宋体" w:eastAsia="宋体" w:cs="Times New Roman"/>
      <w:b/>
      <w:kern w:val="0"/>
      <w:sz w:val="24"/>
      <w:szCs w:val="2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endnote text"/>
    <w:basedOn w:val="1"/>
    <w:qFormat/>
    <w:uiPriority w:val="0"/>
    <w:pPr>
      <w:snapToGrid w:val="0"/>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rPr>
  </w:style>
  <w:style w:type="paragraph" w:customStyle="1" w:styleId="10">
    <w:name w:val=" Char Char Char Char Char Char Char"/>
    <w:basedOn w:val="1"/>
    <w:qFormat/>
    <w:uiPriority w:val="0"/>
    <w:rPr>
      <w:szCs w:val="21"/>
    </w:rPr>
  </w:style>
  <w:style w:type="paragraph" w:customStyle="1" w:styleId="11">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4273</Words>
  <Characters>4535</Characters>
  <Lines>0</Lines>
  <Paragraphs>0</Paragraphs>
  <TotalTime>4</TotalTime>
  <ScaleCrop>false</ScaleCrop>
  <LinksUpToDate>false</LinksUpToDate>
  <CharactersWithSpaces>4539</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2026-07-18T02:58:00Z</dcterms:created>
  <dc:creator>Administrator</dc:creator>
  <cp:lastModifiedBy>pc</cp:lastModifiedBy>
  <dcterms:modified xsi:type="dcterms:W3CDTF">2026-07-17T17:07:36Z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eyJoZGlkIjoiZWI4ZjI5NTUxNmZkMzdiNDBlYjU1ZjFmZTI4MmVmNTQiLCJ1c2VySWQiOiI5NTk2Nzk3MjIifQ==</vt:lpwstr>
  </property>
  <property fmtid="{D5CDD505-2E9C-101B-9397-08002B2CF9AE}" pid="4" name="ICV">
    <vt:lpwstr>412332D3E85949A1BB26AB9892CC1F3A_12</vt:lpwstr>
  </property>
</Properties>
</file>