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9EE15">
      <w:pPr>
        <w:keepNext w:val="0"/>
        <w:spacing w:before="0" w:after="0" w:line="20" w:lineRule="exact"/>
        <w:ind w:left="0" w:right="0" w:firstLine="0"/>
        <w:jc w:val="center"/>
      </w:pPr>
    </w:p>
    <w:p w14:paraId="554F80B5">
      <w:pPr>
        <w:keepNext w:val="0"/>
        <w:spacing w:before="0" w:after="0" w:line="20" w:lineRule="exact"/>
        <w:ind w:left="0" w:right="0" w:firstLine="0"/>
        <w:jc w:val="center"/>
      </w:pPr>
    </w:p>
    <w:p w14:paraId="66097ADD">
      <w:pPr>
        <w:keepNext w:val="0"/>
        <w:spacing w:before="0" w:after="0" w:line="20" w:lineRule="exact"/>
        <w:ind w:left="0" w:right="0" w:firstLine="0"/>
        <w:jc w:val="center"/>
      </w:pPr>
    </w:p>
    <w:p w14:paraId="14BB6BB2">
      <w:pPr>
        <w:keepNext w:val="0"/>
        <w:spacing w:before="0" w:after="0" w:line="20" w:lineRule="exact"/>
        <w:ind w:left="0" w:right="0" w:firstLine="0"/>
        <w:jc w:val="center"/>
      </w:pPr>
    </w:p>
    <w:p w14:paraId="751F455B">
      <w:pPr>
        <w:keepNext w:val="0"/>
        <w:spacing w:before="0" w:after="0" w:line="20" w:lineRule="exact"/>
        <w:ind w:left="0" w:right="0" w:firstLine="0"/>
        <w:jc w:val="center"/>
      </w:pPr>
    </w:p>
    <w:p w14:paraId="4BB4AF04">
      <w:pPr>
        <w:keepNext w:val="0"/>
        <w:spacing w:before="1440" w:after="0" w:line="20" w:lineRule="exact"/>
        <w:ind w:left="0" w:right="0" w:firstLine="0"/>
        <w:jc w:val="center"/>
      </w:pPr>
    </w:p>
    <w:p w14:paraId="6DAB0923">
      <w:pPr>
        <w:keepNext w:val="0"/>
        <w:spacing w:before="0" w:after="160" w:line="288" w:lineRule="auto"/>
        <w:ind w:left="0" w:right="0" w:firstLine="0"/>
        <w:jc w:val="center"/>
      </w:pPr>
      <w:r>
        <w:rPr>
          <w:rFonts w:hint="eastAsia" w:ascii="Arial" w:hAnsi="Arial" w:eastAsia="Heiti SC" w:cs="Arial"/>
          <w:b w:val="0"/>
          <w:color w:val="000000"/>
          <w:sz w:val="34"/>
          <w:u w:val="none"/>
          <w:lang w:val="en-US" w:eastAsia="zh-CN"/>
        </w:rPr>
        <w:t>重庆航天职业技术学院</w:t>
      </w:r>
      <w:r>
        <w:rPr>
          <w:rFonts w:ascii="Arial" w:hAnsi="Arial" w:eastAsia="Heiti SC" w:cs="Arial"/>
          <w:b w:val="0"/>
          <w:color w:val="000000"/>
          <w:sz w:val="34"/>
          <w:u w:val="none"/>
        </w:rPr>
        <w:t xml:space="preserve">  人工智能技术应用专业</w:t>
      </w:r>
    </w:p>
    <w:p w14:paraId="558A7801">
      <w:pPr>
        <w:keepNext w:val="0"/>
        <w:spacing w:before="0" w:after="840" w:line="288" w:lineRule="auto"/>
        <w:ind w:left="0" w:right="0" w:firstLine="0"/>
        <w:jc w:val="center"/>
      </w:pPr>
      <w:r>
        <w:rPr>
          <w:rFonts w:ascii="Arial" w:hAnsi="Arial" w:eastAsia="Heiti SC" w:cs="Arial"/>
          <w:b/>
          <w:color w:val="000000"/>
          <w:sz w:val="36"/>
          <w:u w:val="none"/>
        </w:rPr>
        <w:t>《</w:t>
      </w:r>
      <w:r>
        <w:rPr>
          <w:rFonts w:hint="eastAsia" w:ascii="Arial" w:hAnsi="Arial" w:eastAsia="Heiti SC" w:cs="Arial"/>
          <w:b/>
          <w:color w:val="000000"/>
          <w:sz w:val="36"/>
          <w:u w:val="none"/>
          <w:lang w:val="en-US" w:eastAsia="zh-CN"/>
        </w:rPr>
        <w:t>深度学习应用开发</w:t>
      </w:r>
      <w:r>
        <w:rPr>
          <w:rFonts w:ascii="Arial" w:hAnsi="Arial" w:eastAsia="Heiti SC" w:cs="Arial"/>
          <w:b/>
          <w:color w:val="000000"/>
          <w:sz w:val="36"/>
          <w:u w:val="none"/>
        </w:rPr>
        <w:t>》课程标准</w:t>
      </w:r>
    </w:p>
    <w:p w14:paraId="3C2A949B">
      <w:pPr>
        <w:keepNext w:val="0"/>
        <w:spacing w:before="0" w:after="0" w:line="20" w:lineRule="exact"/>
        <w:ind w:left="0" w:right="0" w:firstLine="0"/>
        <w:jc w:val="center"/>
      </w:pPr>
    </w:p>
    <w:p w14:paraId="4893DAC5">
      <w:pPr>
        <w:keepNext w:val="0"/>
        <w:spacing w:before="0" w:after="0" w:line="20" w:lineRule="exact"/>
        <w:ind w:left="0" w:right="0" w:firstLine="0"/>
        <w:jc w:val="center"/>
      </w:pPr>
    </w:p>
    <w:p w14:paraId="6B3C96F3">
      <w:pPr>
        <w:keepNext w:val="0"/>
        <w:spacing w:before="20" w:after="20" w:line="324" w:lineRule="auto"/>
        <w:ind w:left="1531" w:right="0" w:firstLine="0"/>
        <w:jc w:val="left"/>
        <w:rPr>
          <w:rFonts w:hint="default"/>
          <w:lang w:val="en-US"/>
        </w:rPr>
      </w:pPr>
      <w:r>
        <w:rPr>
          <w:rFonts w:ascii="Times New Roman" w:hAnsi="Times New Roman" w:eastAsia="Songti SC" w:cs="Times New Roman"/>
          <w:b/>
          <w:color w:val="000000"/>
          <w:sz w:val="26"/>
          <w:u w:val="none"/>
        </w:rPr>
        <w:t>课程名称：</w:t>
      </w:r>
      <w:r>
        <w:rPr>
          <w:rFonts w:hint="eastAsia" w:ascii="Times New Roman" w:hAnsi="Times New Roman" w:eastAsia="Songti SC" w:cs="Times New Roman"/>
          <w:b/>
          <w:color w:val="000000"/>
          <w:sz w:val="26"/>
          <w:u w:val="none"/>
          <w:lang w:val="en-US" w:eastAsia="zh-CN"/>
        </w:rPr>
        <w:t xml:space="preserve"> </w:t>
      </w:r>
      <w:r>
        <w:rPr>
          <w:rFonts w:hint="eastAsia" w:ascii="Times New Roman" w:hAnsi="Times New Roman" w:eastAsia="Songti SC" w:cs="Times New Roman"/>
          <w:b/>
          <w:color w:val="000000"/>
          <w:sz w:val="26"/>
          <w:u w:val="single"/>
          <w:lang w:val="en-US" w:eastAsia="zh-CN"/>
        </w:rPr>
        <w:t xml:space="preserve">           </w:t>
      </w:r>
      <w:r>
        <w:rPr>
          <w:rFonts w:ascii="Times New Roman" w:hAnsi="Times New Roman" w:eastAsia="Songti SC" w:cs="Times New Roman"/>
          <w:b w:val="0"/>
          <w:color w:val="000000"/>
          <w:sz w:val="26"/>
          <w:u w:val="single"/>
        </w:rPr>
        <w:t>深度学习</w:t>
      </w:r>
      <w:r>
        <w:rPr>
          <w:rFonts w:hint="eastAsia" w:ascii="Times New Roman" w:hAnsi="Times New Roman" w:eastAsia="Songti SC" w:cs="Times New Roman"/>
          <w:b w:val="0"/>
          <w:color w:val="000000"/>
          <w:sz w:val="26"/>
          <w:u w:val="single"/>
          <w:lang w:eastAsia="zh-CN"/>
        </w:rPr>
        <w:t>应用开发</w:t>
      </w:r>
      <w:r>
        <w:rPr>
          <w:rFonts w:hint="eastAsia" w:ascii="Times New Roman" w:hAnsi="Times New Roman" w:eastAsia="Songti SC" w:cs="Times New Roman"/>
          <w:b w:val="0"/>
          <w:color w:val="000000"/>
          <w:sz w:val="26"/>
          <w:u w:val="single"/>
          <w:lang w:val="en-US" w:eastAsia="zh-CN"/>
        </w:rPr>
        <w:t xml:space="preserve">                        </w:t>
      </w:r>
    </w:p>
    <w:p w14:paraId="0E77CAE3">
      <w:pPr>
        <w:keepNext w:val="0"/>
        <w:spacing w:before="20" w:after="20" w:line="324" w:lineRule="auto"/>
        <w:ind w:left="1531" w:right="0" w:firstLine="0"/>
        <w:jc w:val="left"/>
        <w:rPr>
          <w:rFonts w:hint="default" w:eastAsia="Songti SC"/>
          <w:u w:val="single"/>
          <w:lang w:val="en-US" w:eastAsia="zh-CN"/>
        </w:rPr>
      </w:pPr>
      <w:r>
        <w:rPr>
          <w:rFonts w:ascii="Times New Roman" w:hAnsi="Times New Roman" w:eastAsia="Songti SC" w:cs="Times New Roman"/>
          <w:b/>
          <w:color w:val="000000"/>
          <w:sz w:val="26"/>
          <w:u w:val="none"/>
        </w:rPr>
        <w:t>课程类别：</w:t>
      </w:r>
      <w:r>
        <w:rPr>
          <w:rFonts w:hint="eastAsia" w:ascii="Times New Roman" w:hAnsi="Times New Roman" w:eastAsia="Songti SC" w:cs="Times New Roman"/>
          <w:b w:val="0"/>
          <w:color w:val="000000"/>
          <w:sz w:val="26"/>
          <w:u w:val="single"/>
          <w:lang w:val="en-US" w:eastAsia="zh-CN"/>
        </w:rPr>
        <w:t xml:space="preserve">            专业核</w:t>
      </w:r>
      <w:bookmarkStart w:id="0" w:name="_GoBack"/>
      <w:bookmarkEnd w:id="0"/>
      <w:r>
        <w:rPr>
          <w:rFonts w:hint="eastAsia" w:ascii="Times New Roman" w:hAnsi="Times New Roman" w:eastAsia="Songti SC" w:cs="Times New Roman"/>
          <w:b w:val="0"/>
          <w:color w:val="000000"/>
          <w:sz w:val="26"/>
          <w:u w:val="single"/>
          <w:lang w:val="en-US" w:eastAsia="zh-CN"/>
        </w:rPr>
        <w:t xml:space="preserve">心课  </w:t>
      </w:r>
      <w:r>
        <w:rPr>
          <w:rFonts w:hint="eastAsia" w:ascii="Times New Roman" w:hAnsi="Times New Roman" w:eastAsia="Songti SC" w:cs="Times New Roman"/>
          <w:b w:val="0"/>
          <w:color w:val="000000"/>
          <w:sz w:val="26"/>
          <w:u w:val="none"/>
          <w:lang w:val="en-US" w:eastAsia="zh-CN"/>
        </w:rPr>
        <w:t xml:space="preserve">       </w:t>
      </w:r>
      <w:r>
        <w:rPr>
          <w:rFonts w:hint="eastAsia" w:ascii="Times New Roman" w:hAnsi="Times New Roman" w:eastAsia="Songti SC" w:cs="Times New Roman"/>
          <w:b w:val="0"/>
          <w:color w:val="000000"/>
          <w:sz w:val="26"/>
          <w:u w:val="single"/>
          <w:lang w:val="en-US" w:eastAsia="zh-CN"/>
        </w:rPr>
        <w:t xml:space="preserve">                                                                 </w:t>
      </w:r>
    </w:p>
    <w:p w14:paraId="24AF1B71">
      <w:pPr>
        <w:keepNext w:val="0"/>
        <w:spacing w:before="20" w:after="20" w:line="324" w:lineRule="auto"/>
        <w:ind w:left="1531" w:right="0" w:firstLine="0"/>
        <w:jc w:val="left"/>
      </w:pPr>
      <w:r>
        <w:rPr>
          <w:rFonts w:ascii="Times New Roman" w:hAnsi="Times New Roman" w:eastAsia="Songti SC" w:cs="Times New Roman"/>
          <w:b/>
          <w:color w:val="000000"/>
          <w:sz w:val="26"/>
          <w:u w:val="none"/>
        </w:rPr>
        <w:t>课程学时：</w:t>
      </w:r>
      <w:r>
        <w:rPr>
          <w:rFonts w:hint="eastAsia" w:ascii="Times New Roman" w:hAnsi="Times New Roman" w:eastAsia="Songti SC" w:cs="Times New Roman"/>
          <w:b/>
          <w:color w:val="000000"/>
          <w:sz w:val="26"/>
          <w:u w:val="single"/>
          <w:lang w:val="en-US" w:eastAsia="zh-CN"/>
        </w:rPr>
        <w:t>64</w:t>
      </w:r>
      <w:r>
        <w:rPr>
          <w:rFonts w:ascii="Times New Roman" w:hAnsi="Times New Roman" w:eastAsia="Songti SC" w:cs="Times New Roman"/>
          <w:b w:val="0"/>
          <w:color w:val="000000"/>
          <w:sz w:val="26"/>
          <w:u w:val="single"/>
        </w:rPr>
        <w:t>学时（理论</w:t>
      </w:r>
      <w:r>
        <w:rPr>
          <w:rFonts w:hint="eastAsia" w:ascii="Times New Roman" w:hAnsi="Times New Roman" w:eastAsia="Songti SC" w:cs="Times New Roman"/>
          <w:b w:val="0"/>
          <w:color w:val="000000"/>
          <w:sz w:val="26"/>
          <w:u w:val="single"/>
          <w:lang w:val="en-US" w:eastAsia="zh-CN"/>
        </w:rPr>
        <w:t>32</w:t>
      </w:r>
      <w:r>
        <w:rPr>
          <w:rFonts w:ascii="Times New Roman" w:hAnsi="Times New Roman" w:eastAsia="Songti SC" w:cs="Times New Roman"/>
          <w:b w:val="0"/>
          <w:color w:val="000000"/>
          <w:sz w:val="26"/>
          <w:u w:val="single"/>
        </w:rPr>
        <w:t>、实操</w:t>
      </w:r>
      <w:r>
        <w:rPr>
          <w:rFonts w:hint="eastAsia" w:ascii="Times New Roman" w:hAnsi="Times New Roman" w:eastAsia="Songti SC" w:cs="Times New Roman"/>
          <w:b w:val="0"/>
          <w:color w:val="000000"/>
          <w:sz w:val="26"/>
          <w:u w:val="single"/>
          <w:lang w:val="en-US" w:eastAsia="zh-CN"/>
        </w:rPr>
        <w:t>32</w:t>
      </w:r>
      <w:r>
        <w:rPr>
          <w:rFonts w:ascii="Times New Roman" w:hAnsi="Times New Roman" w:eastAsia="Songti SC" w:cs="Times New Roman"/>
          <w:b w:val="0"/>
          <w:color w:val="000000"/>
          <w:sz w:val="26"/>
          <w:u w:val="single"/>
        </w:rPr>
        <w:t>）</w:t>
      </w:r>
    </w:p>
    <w:p w14:paraId="6CBC81A2">
      <w:pPr>
        <w:keepNext w:val="0"/>
        <w:spacing w:before="20" w:after="20" w:line="324" w:lineRule="auto"/>
        <w:ind w:left="1531" w:right="0" w:firstLine="0"/>
        <w:jc w:val="left"/>
      </w:pPr>
      <w:r>
        <w:rPr>
          <w:rFonts w:ascii="Times New Roman" w:hAnsi="Times New Roman" w:eastAsia="Songti SC" w:cs="Times New Roman"/>
          <w:b/>
          <w:color w:val="000000"/>
          <w:sz w:val="26"/>
          <w:u w:val="none"/>
        </w:rPr>
        <w:t>开设学期：</w:t>
      </w:r>
      <w:r>
        <w:rPr>
          <w:rFonts w:ascii="Times New Roman" w:hAnsi="Times New Roman" w:eastAsia="Songti SC" w:cs="Times New Roman"/>
          <w:b w:val="0"/>
          <w:color w:val="000000"/>
          <w:sz w:val="26"/>
          <w:u w:val="single"/>
        </w:rPr>
        <w:t>第</w:t>
      </w:r>
      <w:r>
        <w:rPr>
          <w:rFonts w:hint="eastAsia" w:ascii="Times New Roman" w:hAnsi="Times New Roman" w:eastAsia="Songti SC" w:cs="Times New Roman"/>
          <w:b w:val="0"/>
          <w:color w:val="000000"/>
          <w:sz w:val="26"/>
          <w:u w:val="single"/>
          <w:lang w:val="en-US" w:eastAsia="zh-CN"/>
        </w:rPr>
        <w:t>5</w:t>
      </w:r>
      <w:r>
        <w:rPr>
          <w:rFonts w:ascii="Times New Roman" w:hAnsi="Times New Roman" w:eastAsia="Songti SC" w:cs="Times New Roman"/>
          <w:b w:val="0"/>
          <w:color w:val="000000"/>
          <w:sz w:val="26"/>
          <w:u w:val="single"/>
        </w:rPr>
        <w:t>学期</w:t>
      </w:r>
    </w:p>
    <w:p w14:paraId="16C61DEA">
      <w:pPr>
        <w:keepNext w:val="0"/>
        <w:spacing w:before="20" w:after="20" w:line="324" w:lineRule="auto"/>
        <w:ind w:left="1531" w:right="0" w:firstLine="0"/>
        <w:jc w:val="left"/>
      </w:pPr>
      <w:r>
        <w:rPr>
          <w:rFonts w:ascii="Times New Roman" w:hAnsi="Times New Roman" w:eastAsia="Songti SC" w:cs="Times New Roman"/>
          <w:b/>
          <w:color w:val="000000"/>
          <w:sz w:val="26"/>
          <w:u w:val="none"/>
        </w:rPr>
        <w:t>对接职业：</w:t>
      </w:r>
      <w:r>
        <w:rPr>
          <w:rFonts w:ascii="Times New Roman" w:hAnsi="Times New Roman" w:eastAsia="Songti SC" w:cs="Times New Roman"/>
          <w:b w:val="0"/>
          <w:color w:val="000000"/>
          <w:sz w:val="26"/>
          <w:u w:val="single"/>
        </w:rPr>
        <w:t>人工智能训练师（首选）</w:t>
      </w:r>
    </w:p>
    <w:p w14:paraId="49764970">
      <w:pPr>
        <w:keepNext w:val="0"/>
        <w:spacing w:before="20" w:after="20" w:line="324" w:lineRule="auto"/>
        <w:ind w:right="0" w:firstLine="2860" w:firstLineChars="1100"/>
        <w:jc w:val="left"/>
      </w:pPr>
      <w:r>
        <w:rPr>
          <w:rFonts w:hint="eastAsia" w:ascii="Times New Roman" w:hAnsi="Times New Roman" w:eastAsia="Songti SC" w:cs="Times New Roman"/>
          <w:b w:val="0"/>
          <w:color w:val="000000"/>
          <w:sz w:val="26"/>
          <w:u w:val="single"/>
          <w:lang w:val="en-US" w:eastAsia="zh-CN"/>
        </w:rPr>
        <w:t>数据标注工程师</w:t>
      </w:r>
      <w:r>
        <w:rPr>
          <w:rFonts w:ascii="Times New Roman" w:hAnsi="Times New Roman" w:eastAsia="Songti SC" w:cs="Times New Roman"/>
          <w:b w:val="0"/>
          <w:color w:val="000000"/>
          <w:sz w:val="26"/>
          <w:u w:val="single"/>
        </w:rPr>
        <w:t>岗位（次选）</w:t>
      </w:r>
    </w:p>
    <w:p w14:paraId="53959923">
      <w:pPr>
        <w:keepNext w:val="0"/>
        <w:spacing w:before="0" w:after="0" w:line="20" w:lineRule="exact"/>
        <w:ind w:left="0" w:right="0" w:firstLine="0"/>
        <w:jc w:val="center"/>
      </w:pPr>
    </w:p>
    <w:p w14:paraId="2D20B413">
      <w:pPr>
        <w:keepNext w:val="0"/>
        <w:spacing w:before="0" w:after="0" w:line="20" w:lineRule="exact"/>
        <w:ind w:left="0" w:right="0" w:firstLine="0"/>
        <w:jc w:val="center"/>
      </w:pPr>
    </w:p>
    <w:p w14:paraId="5AA90701">
      <w:pPr>
        <w:keepNext w:val="0"/>
        <w:spacing w:before="0" w:after="0" w:line="20" w:lineRule="exact"/>
        <w:ind w:left="0" w:right="0" w:firstLine="0"/>
        <w:jc w:val="center"/>
      </w:pPr>
    </w:p>
    <w:p w14:paraId="217EA3DB">
      <w:pPr>
        <w:keepNext w:val="0"/>
        <w:spacing w:before="0" w:after="0" w:line="20" w:lineRule="exact"/>
        <w:ind w:left="0" w:right="0" w:firstLine="0"/>
        <w:jc w:val="center"/>
      </w:pPr>
    </w:p>
    <w:p w14:paraId="1260D104">
      <w:pPr>
        <w:keepNext w:val="0"/>
        <w:spacing w:before="0" w:after="0" w:line="20" w:lineRule="exact"/>
        <w:ind w:left="0" w:right="0" w:firstLine="0"/>
        <w:jc w:val="center"/>
      </w:pPr>
    </w:p>
    <w:p w14:paraId="273F52BB">
      <w:pPr>
        <w:keepNext w:val="0"/>
        <w:spacing w:before="0" w:after="0" w:line="20" w:lineRule="exact"/>
        <w:ind w:left="0" w:right="0" w:firstLine="0"/>
        <w:jc w:val="center"/>
      </w:pPr>
    </w:p>
    <w:p w14:paraId="4355A653">
      <w:pPr>
        <w:keepNext w:val="0"/>
        <w:spacing w:before="0" w:after="0" w:line="20" w:lineRule="exact"/>
        <w:ind w:left="0" w:right="0" w:firstLine="0"/>
        <w:jc w:val="center"/>
      </w:pPr>
    </w:p>
    <w:p w14:paraId="47DAA88D">
      <w:pPr>
        <w:keepNext w:val="0"/>
        <w:spacing w:before="0" w:after="0" w:line="20" w:lineRule="exact"/>
        <w:ind w:left="0" w:right="0" w:firstLine="0"/>
        <w:jc w:val="center"/>
      </w:pPr>
    </w:p>
    <w:p w14:paraId="2A81005E">
      <w:pPr>
        <w:keepNext w:val="0"/>
        <w:spacing w:before="0" w:after="0" w:line="20" w:lineRule="exact"/>
        <w:ind w:left="0" w:right="0" w:firstLine="0"/>
        <w:jc w:val="center"/>
      </w:pPr>
    </w:p>
    <w:p w14:paraId="31F7D324">
      <w:pPr>
        <w:keepNext w:val="0"/>
        <w:spacing w:before="960" w:after="40" w:line="324" w:lineRule="auto"/>
        <w:ind w:left="1871" w:right="0" w:firstLine="0"/>
        <w:jc w:val="left"/>
        <w:rPr>
          <w:rFonts w:hint="default"/>
          <w:u w:val="single"/>
          <w:lang w:val="en-US"/>
        </w:rPr>
      </w:pPr>
      <w:r>
        <w:rPr>
          <w:rFonts w:ascii="Times New Roman" w:hAnsi="Times New Roman" w:eastAsia="Songti SC" w:cs="Times New Roman"/>
          <w:b/>
          <w:color w:val="000000"/>
          <w:sz w:val="26"/>
          <w:u w:val="none"/>
        </w:rPr>
        <w:t>编制单位：</w:t>
      </w:r>
      <w:r>
        <w:rPr>
          <w:rFonts w:hint="eastAsia" w:ascii="Times New Roman" w:hAnsi="Times New Roman" w:eastAsia="Songti SC" w:cs="Times New Roman"/>
          <w:b w:val="0"/>
          <w:color w:val="000000"/>
          <w:sz w:val="26"/>
          <w:u w:val="single"/>
          <w:lang w:val="en-US" w:eastAsia="zh-CN"/>
        </w:rPr>
        <w:t xml:space="preserve">重庆航天职业技术学院           </w:t>
      </w:r>
    </w:p>
    <w:p w14:paraId="0B6BE060">
      <w:pPr>
        <w:keepNext w:val="0"/>
        <w:spacing w:before="40" w:after="40" w:line="324" w:lineRule="auto"/>
        <w:ind w:left="1871" w:right="0" w:firstLine="0"/>
        <w:jc w:val="left"/>
      </w:pPr>
      <w:r>
        <w:rPr>
          <w:rFonts w:ascii="Times New Roman" w:hAnsi="Times New Roman" w:eastAsia="Songti SC" w:cs="Times New Roman"/>
          <w:b/>
          <w:color w:val="000000"/>
          <w:sz w:val="26"/>
          <w:u w:val="none"/>
        </w:rPr>
        <w:t>监制单位：</w:t>
      </w:r>
      <w:r>
        <w:rPr>
          <w:rFonts w:hint="eastAsia" w:ascii="Times New Roman" w:hAnsi="Times New Roman" w:eastAsia="Songti SC" w:cs="Times New Roman"/>
          <w:b w:val="0"/>
          <w:color w:val="000000"/>
          <w:sz w:val="26"/>
          <w:u w:val="single"/>
          <w:lang w:val="en-US" w:eastAsia="zh-CN"/>
        </w:rPr>
        <w:t>重庆航天职业技术学院</w:t>
      </w:r>
      <w:r>
        <w:rPr>
          <w:rFonts w:ascii="Times New Roman" w:hAnsi="Times New Roman" w:eastAsia="Songti SC" w:cs="Times New Roman"/>
          <w:b w:val="0"/>
          <w:color w:val="000000"/>
          <w:sz w:val="26"/>
          <w:u w:val="single"/>
        </w:rPr>
        <w:t>教务处</w:t>
      </w:r>
    </w:p>
    <w:p w14:paraId="448B839D">
      <w:pPr>
        <w:keepNext w:val="0"/>
        <w:spacing w:before="0" w:after="0" w:line="20" w:lineRule="exact"/>
        <w:ind w:left="0" w:right="0" w:firstLine="0"/>
        <w:jc w:val="center"/>
      </w:pPr>
    </w:p>
    <w:p w14:paraId="3744F57A">
      <w:pPr>
        <w:keepNext w:val="0"/>
        <w:spacing w:before="480" w:after="0" w:line="288" w:lineRule="auto"/>
        <w:ind w:left="0" w:right="0" w:firstLine="0"/>
        <w:jc w:val="center"/>
      </w:pPr>
      <w:r>
        <w:rPr>
          <w:rFonts w:ascii="Times New Roman" w:hAnsi="Times New Roman" w:eastAsia="Songti SC" w:cs="Times New Roman"/>
          <w:b/>
          <w:color w:val="000000"/>
          <w:sz w:val="26"/>
          <w:u w:val="none"/>
        </w:rPr>
        <w:t>2026年8月</w:t>
      </w:r>
    </w:p>
    <w:p w14:paraId="6B8A222F">
      <w:pPr>
        <w:rPr>
          <w:rFonts w:ascii="仿宋" w:hAnsi="仿宋" w:eastAsia="仿宋" w:cs="Times New Roman"/>
          <w:b/>
          <w:bCs/>
          <w:sz w:val="28"/>
          <w:szCs w:val="28"/>
        </w:rPr>
      </w:pPr>
      <w:r>
        <w:rPr>
          <w:rFonts w:ascii="仿宋" w:hAnsi="仿宋" w:eastAsia="仿宋" w:cs="Times New Roman"/>
          <w:b/>
          <w:bCs/>
          <w:sz w:val="28"/>
          <w:szCs w:val="28"/>
        </w:rPr>
        <w:br w:type="page"/>
      </w:r>
    </w:p>
    <w:p w14:paraId="2D4E4F40">
      <w:pPr>
        <w:pStyle w:val="166"/>
      </w:pPr>
      <w:r>
        <w:t>一、课程概述</w:t>
      </w:r>
    </w:p>
    <w:p w14:paraId="30430C90">
      <w:pPr>
        <w:pStyle w:val="167"/>
      </w:pPr>
      <w:r>
        <w:t>（一）课程基本信息</w:t>
      </w:r>
    </w:p>
    <w:p w14:paraId="1745C0A3">
      <w:pPr>
        <w:pStyle w:val="170"/>
      </w:pPr>
      <w:r>
        <w:t>表12  课程基本信息</w:t>
      </w:r>
    </w:p>
    <w:tbl>
      <w:tblPr>
        <w:tblStyle w:val="32"/>
        <w:tblW w:w="8300"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000"/>
        <w:gridCol w:w="2300"/>
        <w:gridCol w:w="1800"/>
        <w:gridCol w:w="2200"/>
      </w:tblGrid>
      <w:tr w14:paraId="0C33A50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000" w:type="dxa"/>
            <w:tcBorders>
              <w:tl2br w:val="nil"/>
              <w:tr2bl w:val="nil"/>
            </w:tcBorders>
            <w:shd w:val="clear" w:color="auto" w:fill="E7E6E6"/>
            <w:tcMar>
              <w:top w:w="100" w:type="dxa"/>
              <w:left w:w="100" w:type="dxa"/>
              <w:bottom w:w="100" w:type="dxa"/>
              <w:right w:w="100" w:type="dxa"/>
            </w:tcMar>
            <w:vAlign w:val="center"/>
          </w:tcPr>
          <w:p w14:paraId="66B6F36E">
            <w:pPr>
              <w:pStyle w:val="171"/>
              <w:keepNext w:val="0"/>
              <w:keepLines w:val="0"/>
              <w:jc w:val="left"/>
            </w:pPr>
            <w:r>
              <w:rPr>
                <w:rFonts w:ascii="Times New Roman" w:hAnsi="Times New Roman" w:eastAsia="Songti SC" w:cs="Times New Roman"/>
                <w:b w:val="0"/>
                <w:sz w:val="17"/>
              </w:rPr>
              <w:t>课程名称</w:t>
            </w:r>
          </w:p>
        </w:tc>
        <w:tc>
          <w:tcPr>
            <w:tcW w:w="2300" w:type="dxa"/>
            <w:tcBorders>
              <w:tl2br w:val="nil"/>
              <w:tr2bl w:val="nil"/>
            </w:tcBorders>
            <w:tcMar>
              <w:top w:w="100" w:type="dxa"/>
              <w:left w:w="100" w:type="dxa"/>
              <w:bottom w:w="100" w:type="dxa"/>
              <w:right w:w="100" w:type="dxa"/>
            </w:tcMar>
            <w:vAlign w:val="center"/>
          </w:tcPr>
          <w:p w14:paraId="3F87B27F">
            <w:pPr>
              <w:pStyle w:val="171"/>
              <w:keepNext w:val="0"/>
              <w:keepLines w:val="0"/>
              <w:jc w:val="left"/>
              <w:rPr>
                <w:rFonts w:hint="default" w:eastAsia="Songti SC"/>
                <w:lang w:val="en-US" w:eastAsia="zh-CN"/>
              </w:rPr>
            </w:pPr>
            <w:r>
              <w:rPr>
                <w:rFonts w:ascii="Times New Roman" w:hAnsi="Times New Roman" w:eastAsia="Songti SC" w:cs="Times New Roman"/>
                <w:b w:val="0"/>
                <w:sz w:val="17"/>
              </w:rPr>
              <w:t>深度学习</w:t>
            </w:r>
            <w:r>
              <w:rPr>
                <w:rFonts w:hint="eastAsia" w:cs="Times New Roman"/>
                <w:b w:val="0"/>
                <w:sz w:val="17"/>
                <w:lang w:val="en-US" w:eastAsia="zh-CN"/>
              </w:rPr>
              <w:t>应用开发</w:t>
            </w:r>
          </w:p>
        </w:tc>
        <w:tc>
          <w:tcPr>
            <w:tcW w:w="1800" w:type="dxa"/>
            <w:tcBorders>
              <w:tl2br w:val="nil"/>
              <w:tr2bl w:val="nil"/>
            </w:tcBorders>
            <w:shd w:val="clear" w:color="auto" w:fill="E7E6E6"/>
            <w:tcMar>
              <w:top w:w="100" w:type="dxa"/>
              <w:left w:w="100" w:type="dxa"/>
              <w:bottom w:w="100" w:type="dxa"/>
              <w:right w:w="100" w:type="dxa"/>
            </w:tcMar>
            <w:vAlign w:val="center"/>
          </w:tcPr>
          <w:p w14:paraId="4AC28647">
            <w:pPr>
              <w:pStyle w:val="171"/>
              <w:keepNext w:val="0"/>
              <w:keepLines w:val="0"/>
              <w:jc w:val="left"/>
            </w:pPr>
            <w:r>
              <w:rPr>
                <w:rFonts w:ascii="Times New Roman" w:hAnsi="Times New Roman" w:eastAsia="Songti SC" w:cs="Times New Roman"/>
                <w:b w:val="0"/>
                <w:sz w:val="17"/>
              </w:rPr>
              <w:t>课程代码</w:t>
            </w:r>
          </w:p>
        </w:tc>
        <w:tc>
          <w:tcPr>
            <w:tcW w:w="2200" w:type="dxa"/>
            <w:tcBorders>
              <w:tl2br w:val="nil"/>
              <w:tr2bl w:val="nil"/>
            </w:tcBorders>
            <w:tcMar>
              <w:top w:w="100" w:type="dxa"/>
              <w:left w:w="100" w:type="dxa"/>
              <w:bottom w:w="100" w:type="dxa"/>
              <w:right w:w="100" w:type="dxa"/>
            </w:tcMar>
            <w:vAlign w:val="center"/>
          </w:tcPr>
          <w:p w14:paraId="48D24853">
            <w:pPr>
              <w:pStyle w:val="171"/>
              <w:keepNext w:val="0"/>
              <w:keepLines w:val="0"/>
              <w:jc w:val="left"/>
            </w:pPr>
            <w:r>
              <w:rPr>
                <w:rFonts w:hint="eastAsia"/>
              </w:rPr>
              <w:t>05041308</w:t>
            </w:r>
          </w:p>
        </w:tc>
      </w:tr>
      <w:tr w14:paraId="7CB8FD1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00" w:type="dxa"/>
            <w:tcBorders>
              <w:tl2br w:val="nil"/>
              <w:tr2bl w:val="nil"/>
            </w:tcBorders>
            <w:shd w:val="clear" w:color="auto" w:fill="E7E6E6"/>
            <w:tcMar>
              <w:top w:w="100" w:type="dxa"/>
              <w:left w:w="100" w:type="dxa"/>
              <w:bottom w:w="100" w:type="dxa"/>
              <w:right w:w="100" w:type="dxa"/>
            </w:tcMar>
            <w:vAlign w:val="center"/>
          </w:tcPr>
          <w:p w14:paraId="6E29B6BF">
            <w:pPr>
              <w:pStyle w:val="171"/>
              <w:keepNext w:val="0"/>
              <w:keepLines w:val="0"/>
              <w:jc w:val="left"/>
            </w:pPr>
            <w:r>
              <w:rPr>
                <w:rFonts w:ascii="Times New Roman" w:hAnsi="Times New Roman" w:eastAsia="Songti SC" w:cs="Times New Roman"/>
                <w:b w:val="0"/>
                <w:sz w:val="17"/>
              </w:rPr>
              <w:t>适用专业</w:t>
            </w:r>
          </w:p>
        </w:tc>
        <w:tc>
          <w:tcPr>
            <w:tcW w:w="2300" w:type="dxa"/>
            <w:tcBorders>
              <w:tl2br w:val="nil"/>
              <w:tr2bl w:val="nil"/>
            </w:tcBorders>
            <w:tcMar>
              <w:top w:w="100" w:type="dxa"/>
              <w:left w:w="100" w:type="dxa"/>
              <w:bottom w:w="100" w:type="dxa"/>
              <w:right w:w="100" w:type="dxa"/>
            </w:tcMar>
            <w:vAlign w:val="center"/>
          </w:tcPr>
          <w:p w14:paraId="08D6E277">
            <w:pPr>
              <w:pStyle w:val="171"/>
              <w:jc w:val="left"/>
            </w:pPr>
            <w:r>
              <w:rPr>
                <w:rFonts w:ascii="Times New Roman" w:hAnsi="Times New Roman" w:eastAsia="Songti SC" w:cs="Times New Roman"/>
                <w:b w:val="0"/>
                <w:sz w:val="17"/>
              </w:rPr>
              <w:t>人工智能技术应用专业</w:t>
            </w:r>
          </w:p>
        </w:tc>
        <w:tc>
          <w:tcPr>
            <w:tcW w:w="1800" w:type="dxa"/>
            <w:tcBorders>
              <w:tl2br w:val="nil"/>
              <w:tr2bl w:val="nil"/>
            </w:tcBorders>
            <w:shd w:val="clear" w:color="auto" w:fill="E7E6E6"/>
            <w:tcMar>
              <w:top w:w="100" w:type="dxa"/>
              <w:left w:w="100" w:type="dxa"/>
              <w:bottom w:w="100" w:type="dxa"/>
              <w:right w:w="100" w:type="dxa"/>
            </w:tcMar>
            <w:vAlign w:val="center"/>
          </w:tcPr>
          <w:p w14:paraId="3A519F37">
            <w:pPr>
              <w:pStyle w:val="171"/>
              <w:jc w:val="center"/>
            </w:pPr>
            <w:r>
              <w:rPr>
                <w:rFonts w:ascii="Times New Roman" w:hAnsi="Times New Roman" w:eastAsia="Heiti SC" w:cs="Times New Roman"/>
                <w:b/>
                <w:sz w:val="17"/>
              </w:rPr>
              <w:t>授课对象</w:t>
            </w:r>
          </w:p>
        </w:tc>
        <w:tc>
          <w:tcPr>
            <w:tcW w:w="2200" w:type="dxa"/>
            <w:tcBorders>
              <w:tl2br w:val="nil"/>
              <w:tr2bl w:val="nil"/>
            </w:tcBorders>
            <w:tcMar>
              <w:top w:w="100" w:type="dxa"/>
              <w:left w:w="100" w:type="dxa"/>
              <w:bottom w:w="100" w:type="dxa"/>
              <w:right w:w="100" w:type="dxa"/>
            </w:tcMar>
            <w:vAlign w:val="center"/>
          </w:tcPr>
          <w:p w14:paraId="79F51020">
            <w:pPr>
              <w:pStyle w:val="171"/>
              <w:keepNext w:val="0"/>
              <w:keepLines w:val="0"/>
              <w:jc w:val="left"/>
            </w:pPr>
            <w:r>
              <w:rPr>
                <w:rFonts w:ascii="Times New Roman" w:hAnsi="Times New Roman" w:eastAsia="Songti SC" w:cs="Times New Roman"/>
                <w:b w:val="0"/>
                <w:sz w:val="17"/>
              </w:rPr>
              <w:t>高职</w:t>
            </w:r>
          </w:p>
        </w:tc>
      </w:tr>
      <w:tr w14:paraId="0126378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00" w:type="dxa"/>
            <w:tcBorders>
              <w:tl2br w:val="nil"/>
              <w:tr2bl w:val="nil"/>
            </w:tcBorders>
            <w:shd w:val="clear" w:color="auto" w:fill="E7E6E6"/>
            <w:tcMar>
              <w:top w:w="100" w:type="dxa"/>
              <w:left w:w="100" w:type="dxa"/>
              <w:bottom w:w="100" w:type="dxa"/>
              <w:right w:w="100" w:type="dxa"/>
            </w:tcMar>
            <w:vAlign w:val="center"/>
          </w:tcPr>
          <w:p w14:paraId="23BB3298">
            <w:pPr>
              <w:pStyle w:val="171"/>
              <w:jc w:val="center"/>
            </w:pPr>
            <w:r>
              <w:rPr>
                <w:rFonts w:ascii="Times New Roman" w:hAnsi="Times New Roman" w:eastAsia="Heiti SC" w:cs="Times New Roman"/>
                <w:b/>
                <w:sz w:val="17"/>
              </w:rPr>
              <w:t>课程类型</w:t>
            </w:r>
          </w:p>
        </w:tc>
        <w:tc>
          <w:tcPr>
            <w:tcW w:w="2300" w:type="dxa"/>
            <w:tcBorders>
              <w:tl2br w:val="nil"/>
              <w:tr2bl w:val="nil"/>
            </w:tcBorders>
            <w:tcMar>
              <w:top w:w="100" w:type="dxa"/>
              <w:left w:w="100" w:type="dxa"/>
              <w:bottom w:w="100" w:type="dxa"/>
              <w:right w:w="100" w:type="dxa"/>
            </w:tcMar>
            <w:vAlign w:val="center"/>
          </w:tcPr>
          <w:p w14:paraId="5EABA74B">
            <w:pPr>
              <w:pStyle w:val="171"/>
              <w:jc w:val="left"/>
            </w:pPr>
            <w:r>
              <w:rPr>
                <w:rFonts w:ascii="Times New Roman" w:hAnsi="Times New Roman" w:eastAsia="Songti SC" w:cs="Times New Roman"/>
                <w:b w:val="0"/>
                <w:sz w:val="17"/>
              </w:rPr>
              <w:t>专业核心课</w:t>
            </w:r>
          </w:p>
        </w:tc>
        <w:tc>
          <w:tcPr>
            <w:tcW w:w="1800" w:type="dxa"/>
            <w:tcBorders>
              <w:tl2br w:val="nil"/>
              <w:tr2bl w:val="nil"/>
            </w:tcBorders>
            <w:shd w:val="clear" w:color="auto" w:fill="E7E6E6"/>
            <w:tcMar>
              <w:top w:w="100" w:type="dxa"/>
              <w:left w:w="100" w:type="dxa"/>
              <w:bottom w:w="100" w:type="dxa"/>
              <w:right w:w="100" w:type="dxa"/>
            </w:tcMar>
            <w:vAlign w:val="center"/>
          </w:tcPr>
          <w:p w14:paraId="198C5D84">
            <w:pPr>
              <w:pStyle w:val="171"/>
              <w:jc w:val="center"/>
            </w:pPr>
            <w:r>
              <w:rPr>
                <w:rFonts w:ascii="Times New Roman" w:hAnsi="Times New Roman" w:eastAsia="Heiti SC" w:cs="Times New Roman"/>
                <w:b/>
                <w:sz w:val="17"/>
              </w:rPr>
              <w:t>考核方式</w:t>
            </w:r>
          </w:p>
        </w:tc>
        <w:tc>
          <w:tcPr>
            <w:tcW w:w="2200" w:type="dxa"/>
            <w:tcBorders>
              <w:tl2br w:val="nil"/>
              <w:tr2bl w:val="nil"/>
            </w:tcBorders>
            <w:tcMar>
              <w:top w:w="100" w:type="dxa"/>
              <w:left w:w="100" w:type="dxa"/>
              <w:bottom w:w="100" w:type="dxa"/>
              <w:right w:w="100" w:type="dxa"/>
            </w:tcMar>
            <w:vAlign w:val="center"/>
          </w:tcPr>
          <w:p w14:paraId="3DC67BF1">
            <w:pPr>
              <w:pStyle w:val="171"/>
              <w:keepNext w:val="0"/>
              <w:keepLines w:val="0"/>
              <w:jc w:val="left"/>
            </w:pPr>
            <w:r>
              <w:rPr>
                <w:rFonts w:ascii="Times New Roman" w:hAnsi="Times New Roman" w:eastAsia="Songti SC" w:cs="Times New Roman"/>
                <w:b w:val="0"/>
                <w:sz w:val="17"/>
              </w:rPr>
              <w:t>项目考核</w:t>
            </w:r>
          </w:p>
        </w:tc>
      </w:tr>
      <w:tr w14:paraId="7DA1B51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00" w:type="dxa"/>
            <w:tcBorders>
              <w:tl2br w:val="nil"/>
              <w:tr2bl w:val="nil"/>
            </w:tcBorders>
            <w:shd w:val="clear" w:color="auto" w:fill="E7E6E6"/>
            <w:tcMar>
              <w:top w:w="100" w:type="dxa"/>
              <w:left w:w="100" w:type="dxa"/>
              <w:bottom w:w="100" w:type="dxa"/>
              <w:right w:w="100" w:type="dxa"/>
            </w:tcMar>
            <w:vAlign w:val="center"/>
          </w:tcPr>
          <w:p w14:paraId="51CAC250">
            <w:pPr>
              <w:pStyle w:val="171"/>
              <w:jc w:val="center"/>
            </w:pPr>
            <w:r>
              <w:rPr>
                <w:rFonts w:ascii="Times New Roman" w:hAnsi="Times New Roman" w:eastAsia="Heiti SC" w:cs="Times New Roman"/>
                <w:b/>
                <w:sz w:val="17"/>
              </w:rPr>
              <w:t>课程学分</w:t>
            </w:r>
          </w:p>
        </w:tc>
        <w:tc>
          <w:tcPr>
            <w:tcW w:w="2300" w:type="dxa"/>
            <w:tcBorders>
              <w:tl2br w:val="nil"/>
              <w:tr2bl w:val="nil"/>
            </w:tcBorders>
            <w:tcMar>
              <w:top w:w="100" w:type="dxa"/>
              <w:left w:w="100" w:type="dxa"/>
              <w:bottom w:w="100" w:type="dxa"/>
              <w:right w:w="100" w:type="dxa"/>
            </w:tcMar>
            <w:vAlign w:val="center"/>
          </w:tcPr>
          <w:p w14:paraId="2317C1AE">
            <w:pPr>
              <w:pStyle w:val="171"/>
              <w:jc w:val="left"/>
            </w:pPr>
            <w:r>
              <w:rPr>
                <w:rFonts w:hint="eastAsia" w:cs="Times New Roman"/>
                <w:b w:val="0"/>
                <w:sz w:val="17"/>
                <w:lang w:val="en-US" w:eastAsia="zh-CN"/>
              </w:rPr>
              <w:t>4</w:t>
            </w:r>
            <w:r>
              <w:rPr>
                <w:rFonts w:ascii="Times New Roman" w:hAnsi="Times New Roman" w:eastAsia="Songti SC" w:cs="Times New Roman"/>
                <w:b w:val="0"/>
                <w:sz w:val="17"/>
              </w:rPr>
              <w:t>学分</w:t>
            </w:r>
          </w:p>
        </w:tc>
        <w:tc>
          <w:tcPr>
            <w:tcW w:w="1800" w:type="dxa"/>
            <w:tcBorders>
              <w:tl2br w:val="nil"/>
              <w:tr2bl w:val="nil"/>
            </w:tcBorders>
            <w:shd w:val="clear" w:color="auto" w:fill="E7E6E6"/>
            <w:tcMar>
              <w:top w:w="100" w:type="dxa"/>
              <w:left w:w="100" w:type="dxa"/>
              <w:bottom w:w="100" w:type="dxa"/>
              <w:right w:w="100" w:type="dxa"/>
            </w:tcMar>
            <w:vAlign w:val="center"/>
          </w:tcPr>
          <w:p w14:paraId="4B46E670">
            <w:pPr>
              <w:pStyle w:val="171"/>
              <w:jc w:val="center"/>
            </w:pPr>
            <w:r>
              <w:rPr>
                <w:rFonts w:ascii="Times New Roman" w:hAnsi="Times New Roman" w:eastAsia="Heiti SC" w:cs="Times New Roman"/>
                <w:b/>
                <w:sz w:val="17"/>
              </w:rPr>
              <w:t>课程学时</w:t>
            </w:r>
          </w:p>
        </w:tc>
        <w:tc>
          <w:tcPr>
            <w:tcW w:w="2200" w:type="dxa"/>
            <w:tcBorders>
              <w:tl2br w:val="nil"/>
              <w:tr2bl w:val="nil"/>
            </w:tcBorders>
            <w:tcMar>
              <w:top w:w="100" w:type="dxa"/>
              <w:left w:w="100" w:type="dxa"/>
              <w:bottom w:w="100" w:type="dxa"/>
              <w:right w:w="100" w:type="dxa"/>
            </w:tcMar>
            <w:vAlign w:val="center"/>
          </w:tcPr>
          <w:p w14:paraId="09667663">
            <w:pPr>
              <w:pStyle w:val="171"/>
              <w:keepNext w:val="0"/>
              <w:keepLines w:val="0"/>
              <w:jc w:val="left"/>
            </w:pPr>
            <w:r>
              <w:rPr>
                <w:rFonts w:hint="eastAsia" w:cs="Times New Roman"/>
                <w:b w:val="0"/>
                <w:sz w:val="17"/>
                <w:lang w:val="en-US" w:eastAsia="zh-CN"/>
              </w:rPr>
              <w:t>64</w:t>
            </w:r>
            <w:r>
              <w:rPr>
                <w:rFonts w:ascii="Times New Roman" w:hAnsi="Times New Roman" w:eastAsia="Songti SC" w:cs="Times New Roman"/>
                <w:b w:val="0"/>
                <w:sz w:val="17"/>
              </w:rPr>
              <w:t>（理论</w:t>
            </w:r>
            <w:r>
              <w:rPr>
                <w:rFonts w:hint="eastAsia" w:cs="Times New Roman"/>
                <w:b w:val="0"/>
                <w:sz w:val="17"/>
                <w:lang w:val="en-US" w:eastAsia="zh-CN"/>
              </w:rPr>
              <w:t>32</w:t>
            </w:r>
            <w:r>
              <w:rPr>
                <w:rFonts w:ascii="Times New Roman" w:hAnsi="Times New Roman" w:eastAsia="Songti SC" w:cs="Times New Roman"/>
                <w:b w:val="0"/>
                <w:sz w:val="17"/>
              </w:rPr>
              <w:t>、实操</w:t>
            </w:r>
            <w:r>
              <w:rPr>
                <w:rFonts w:hint="eastAsia" w:cs="Times New Roman"/>
                <w:b w:val="0"/>
                <w:sz w:val="17"/>
                <w:lang w:val="en-US" w:eastAsia="zh-CN"/>
              </w:rPr>
              <w:t>32</w:t>
            </w:r>
            <w:r>
              <w:rPr>
                <w:rFonts w:ascii="Times New Roman" w:hAnsi="Times New Roman" w:eastAsia="Songti SC" w:cs="Times New Roman"/>
                <w:b w:val="0"/>
                <w:sz w:val="17"/>
              </w:rPr>
              <w:t>）</w:t>
            </w:r>
          </w:p>
        </w:tc>
      </w:tr>
    </w:tbl>
    <w:p w14:paraId="3FAD3F79">
      <w:pPr>
        <w:pStyle w:val="164"/>
      </w:pPr>
    </w:p>
    <w:p w14:paraId="7468D235">
      <w:pPr>
        <w:pStyle w:val="167"/>
      </w:pPr>
      <w:r>
        <w:t>（二）课程性质</w:t>
      </w:r>
    </w:p>
    <w:p w14:paraId="74551F81">
      <w:pPr>
        <w:pStyle w:val="164"/>
      </w:pPr>
      <w:r>
        <w:t>《深度学习（PyTorch）》是人工智能技术应用专业的专业核心课程，面向具备Python程序设计、基础数学和机器学习初步知识的高职二年级学生开设。课程依据人工智能相关岗位能力、专业人才培养目标和深度学习技术逻辑自主构建，围绕张量与数学基础、监督学习基线、非线性与泛化、卷积视觉、循环序列、计算机视觉基础应用和文本预训练表示应用形成递进体系。课程不是算法名词的罗列，而是把模型原理、代码实现、训练评价、工程复现和职业规范整合为可以操作、可以检查、可以迭代的学习过程。</w:t>
      </w:r>
    </w:p>
    <w:p w14:paraId="5205AB63">
      <w:pPr>
        <w:pStyle w:val="164"/>
      </w:pPr>
      <w:r>
        <w:t>本课程在人才培养方案中承接《Python程序设计》《高等数学基础》《数据结构基础》《机器学习基础》等课程，为《计算机视觉综合应用与部署》《自然语言处理应用》《人工智能模型部署与运维》《毕业综合实践》等后续课程提供模型构建、训练和评价能力。课程中的线性回归、softmax、MLP、CNN、RNN、图像增广、迁移学习、检测、分割、词嵌入和BERT预训练表示既是典型方法，也是理解更复杂人工智能系统的基本构件；数据管道、检查点、设备迁移、实验配置和单元测试则为后续工程化课程提供共同接口。</w:t>
      </w:r>
    </w:p>
    <w:p w14:paraId="4B975172">
      <w:pPr>
        <w:pStyle w:val="164"/>
      </w:pPr>
      <w:r>
        <w:t>课程采用理实一体化和项目递进组织，共设置九个模块。模块学时严格按</w:t>
      </w:r>
      <w:r>
        <w:rPr>
          <w:rFonts w:hint="eastAsia"/>
          <w:lang w:val="en-US" w:eastAsia="zh-CN"/>
        </w:rPr>
        <w:t>18</w:t>
      </w:r>
      <w:r>
        <w:t>＋</w:t>
      </w:r>
      <w:r>
        <w:rPr>
          <w:rFonts w:hint="eastAsia"/>
          <w:lang w:val="en-US" w:eastAsia="zh-CN"/>
        </w:rPr>
        <w:t>20</w:t>
      </w:r>
      <w:r>
        <w:t>＋</w:t>
      </w:r>
      <w:r>
        <w:rPr>
          <w:rFonts w:hint="eastAsia"/>
          <w:lang w:val="en-US" w:eastAsia="zh-CN"/>
        </w:rPr>
        <w:t>26</w:t>
      </w:r>
      <w:r>
        <w:t>分配：数据、数学与基础学习模块约占</w:t>
      </w:r>
      <w:r>
        <w:rPr>
          <w:rFonts w:hint="eastAsia"/>
          <w:lang w:val="en-US" w:eastAsia="zh-CN"/>
        </w:rPr>
        <w:t>1</w:t>
      </w:r>
      <w:r>
        <w:t>/6，卷积与序列核心模型模块约占</w:t>
      </w:r>
      <w:r>
        <w:rPr>
          <w:rFonts w:hint="eastAsia"/>
          <w:lang w:val="en-US" w:eastAsia="zh-CN"/>
        </w:rPr>
        <w:t>2</w:t>
      </w:r>
      <w:r>
        <w:t>/6，计算机视觉和文本预训练表示应用模块占</w:t>
      </w:r>
      <w:r>
        <w:rPr>
          <w:rFonts w:hint="eastAsia"/>
          <w:lang w:val="en-US" w:eastAsia="zh-CN"/>
        </w:rPr>
        <w:t>1/2</w:t>
      </w:r>
      <w:r>
        <w:t>；实践学时占</w:t>
      </w:r>
      <w:r>
        <w:rPr>
          <w:rFonts w:hint="eastAsia"/>
          <w:lang w:val="en-US" w:eastAsia="zh-CN"/>
        </w:rPr>
        <w:t>50</w:t>
      </w:r>
      <w:r>
        <w:t>%。评价分值同步按17分、33分、50分分组，使内容比重、教学时间和学习证据保持一致。各模块形成可提交产出，并通过统一的PyTorch实验平台逐步累积，避免把各项实验做成互不关联的一次性代码。</w:t>
      </w:r>
    </w:p>
    <w:p w14:paraId="19C70312">
      <w:pPr>
        <w:pStyle w:val="164"/>
      </w:pPr>
      <w:r>
        <w:t>课程面向人工智能训练师、机器学习工程技术岗位和数据分析应用岗位的典型工作任务，包括数据准备、基线建立、模型实现、训练调优、结果评价、问题诊断、检查点管理、技术报告和团队交付。课程不以某一软件证书的题库训练代替能力培养，而是把职业工作中可观察的质量要求转化为代码可运行、指标可复核、过程可追溯、结论有证据、风险有说明的评价标准。</w:t>
      </w:r>
    </w:p>
    <w:p w14:paraId="1FD90580">
      <w:pPr>
        <w:pStyle w:val="164"/>
      </w:pPr>
      <w:r>
        <w:t>课程同时承担职业伦理与价值教育功能。学生在数据处理阶段学习授权、隐私和数据质量，在模型评价阶段学习公平、泛化和分布偏移，在视觉任务中学习肖像保护、标注责任与漏检风险，在文本预训练任务中学习语料版权、隐私、偏见和审慎解释，在GPU使用中学习资源成本和可持续计算，在团队项目中学习引用、代码评审和诚实报告失败实验。最终目标是使学生能够以负责任的方式开发和评价深度学习原型，而不是只追求局部指标。</w:t>
      </w:r>
    </w:p>
    <w:p w14:paraId="2DB97621">
      <w:pPr>
        <w:pStyle w:val="170"/>
      </w:pPr>
      <w:r>
        <w:t>表13  课程与先修、后续课程关系</w:t>
      </w:r>
    </w:p>
    <w:tbl>
      <w:tblPr>
        <w:tblStyle w:val="32"/>
        <w:tblW w:w="8300"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00"/>
        <w:gridCol w:w="2500"/>
        <w:gridCol w:w="5000"/>
      </w:tblGrid>
      <w:tr w14:paraId="271CFAD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00" w:type="dxa"/>
            <w:shd w:val="clear" w:color="auto" w:fill="E7E6E6"/>
            <w:tcMar>
              <w:top w:w="100" w:type="dxa"/>
              <w:left w:w="100" w:type="dxa"/>
              <w:bottom w:w="100" w:type="dxa"/>
              <w:right w:w="100" w:type="dxa"/>
            </w:tcMar>
            <w:vAlign w:val="center"/>
          </w:tcPr>
          <w:p w14:paraId="247F018B">
            <w:pPr>
              <w:pStyle w:val="171"/>
              <w:keepNext w:val="0"/>
              <w:keepLines w:val="0"/>
              <w:jc w:val="center"/>
            </w:pPr>
            <w:r>
              <w:rPr>
                <w:rFonts w:ascii="Arial" w:hAnsi="Arial" w:eastAsia="Heiti SC" w:cs="Arial"/>
                <w:b/>
                <w:sz w:val="17"/>
              </w:rPr>
              <w:t>序号</w:t>
            </w:r>
          </w:p>
        </w:tc>
        <w:tc>
          <w:tcPr>
            <w:tcW w:w="2500" w:type="dxa"/>
            <w:shd w:val="clear" w:color="auto" w:fill="E7E6E6"/>
            <w:tcMar>
              <w:top w:w="100" w:type="dxa"/>
              <w:left w:w="100" w:type="dxa"/>
              <w:bottom w:w="100" w:type="dxa"/>
              <w:right w:w="100" w:type="dxa"/>
            </w:tcMar>
            <w:vAlign w:val="center"/>
          </w:tcPr>
          <w:p w14:paraId="61B885AD">
            <w:pPr>
              <w:pStyle w:val="171"/>
              <w:keepNext w:val="0"/>
              <w:keepLines w:val="0"/>
              <w:jc w:val="center"/>
            </w:pPr>
            <w:r>
              <w:rPr>
                <w:rFonts w:ascii="Arial" w:hAnsi="Arial" w:eastAsia="Heiti SC" w:cs="Arial"/>
                <w:b/>
                <w:sz w:val="17"/>
              </w:rPr>
              <w:t>先修课程名称</w:t>
            </w:r>
          </w:p>
        </w:tc>
        <w:tc>
          <w:tcPr>
            <w:tcW w:w="5000" w:type="dxa"/>
            <w:shd w:val="clear" w:color="auto" w:fill="E7E6E6"/>
            <w:tcMar>
              <w:top w:w="100" w:type="dxa"/>
              <w:left w:w="100" w:type="dxa"/>
              <w:bottom w:w="100" w:type="dxa"/>
              <w:right w:w="100" w:type="dxa"/>
            </w:tcMar>
            <w:vAlign w:val="center"/>
          </w:tcPr>
          <w:p w14:paraId="32CF89C1">
            <w:pPr>
              <w:pStyle w:val="171"/>
              <w:keepNext w:val="0"/>
              <w:keepLines w:val="0"/>
              <w:jc w:val="center"/>
            </w:pPr>
            <w:r>
              <w:rPr>
                <w:rFonts w:ascii="Arial" w:hAnsi="Arial" w:eastAsia="Heiti SC" w:cs="Arial"/>
                <w:b/>
                <w:sz w:val="17"/>
              </w:rPr>
              <w:t>为本课程支撑的主要能力</w:t>
            </w:r>
          </w:p>
        </w:tc>
      </w:tr>
      <w:tr w14:paraId="652FB00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00" w:type="dxa"/>
            <w:tcMar>
              <w:top w:w="100" w:type="dxa"/>
              <w:left w:w="100" w:type="dxa"/>
              <w:bottom w:w="100" w:type="dxa"/>
              <w:right w:w="100" w:type="dxa"/>
            </w:tcMar>
            <w:vAlign w:val="center"/>
          </w:tcPr>
          <w:p w14:paraId="44CD4559">
            <w:pPr>
              <w:pStyle w:val="171"/>
              <w:keepNext w:val="0"/>
              <w:keepLines w:val="0"/>
              <w:jc w:val="left"/>
            </w:pPr>
            <w:r>
              <w:rPr>
                <w:rFonts w:ascii="Times New Roman" w:hAnsi="Times New Roman" w:eastAsia="Songti SC" w:cs="Times New Roman"/>
                <w:b w:val="0"/>
                <w:sz w:val="17"/>
              </w:rPr>
              <w:t>1</w:t>
            </w:r>
          </w:p>
        </w:tc>
        <w:tc>
          <w:tcPr>
            <w:tcW w:w="2500" w:type="dxa"/>
            <w:tcMar>
              <w:top w:w="100" w:type="dxa"/>
              <w:left w:w="100" w:type="dxa"/>
              <w:bottom w:w="100" w:type="dxa"/>
              <w:right w:w="100" w:type="dxa"/>
            </w:tcMar>
            <w:vAlign w:val="center"/>
          </w:tcPr>
          <w:p w14:paraId="1620DE30">
            <w:pPr>
              <w:pStyle w:val="171"/>
              <w:jc w:val="left"/>
            </w:pPr>
            <w:r>
              <w:rPr>
                <w:rFonts w:ascii="Times New Roman" w:hAnsi="Times New Roman" w:eastAsia="Songti SC" w:cs="Times New Roman"/>
                <w:b w:val="0"/>
                <w:sz w:val="17"/>
              </w:rPr>
              <w:t>Python程序设计</w:t>
            </w:r>
          </w:p>
        </w:tc>
        <w:tc>
          <w:tcPr>
            <w:tcW w:w="5000" w:type="dxa"/>
            <w:tcMar>
              <w:top w:w="100" w:type="dxa"/>
              <w:left w:w="100" w:type="dxa"/>
              <w:bottom w:w="100" w:type="dxa"/>
              <w:right w:w="100" w:type="dxa"/>
            </w:tcMar>
            <w:vAlign w:val="center"/>
          </w:tcPr>
          <w:p w14:paraId="39DF1452">
            <w:pPr>
              <w:pStyle w:val="171"/>
              <w:keepNext w:val="0"/>
              <w:keepLines w:val="0"/>
              <w:jc w:val="left"/>
            </w:pPr>
            <w:r>
              <w:rPr>
                <w:rFonts w:ascii="Times New Roman" w:hAnsi="Times New Roman" w:eastAsia="Songti SC" w:cs="Times New Roman"/>
                <w:b w:val="0"/>
                <w:sz w:val="17"/>
              </w:rPr>
              <w:t>提供函数、类、文件、异常处理、第三方包和调试基础。</w:t>
            </w:r>
          </w:p>
        </w:tc>
      </w:tr>
      <w:tr w14:paraId="617903D8">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00" w:type="dxa"/>
            <w:tcMar>
              <w:top w:w="100" w:type="dxa"/>
              <w:left w:w="100" w:type="dxa"/>
              <w:bottom w:w="100" w:type="dxa"/>
              <w:right w:w="100" w:type="dxa"/>
            </w:tcMar>
            <w:vAlign w:val="center"/>
          </w:tcPr>
          <w:p w14:paraId="0722C252">
            <w:pPr>
              <w:pStyle w:val="171"/>
              <w:jc w:val="center"/>
            </w:pPr>
            <w:r>
              <w:rPr>
                <w:rFonts w:ascii="Times New Roman" w:hAnsi="Times New Roman" w:eastAsia="Songti SC" w:cs="Times New Roman"/>
                <w:b w:val="0"/>
                <w:sz w:val="17"/>
              </w:rPr>
              <w:t>2</w:t>
            </w:r>
          </w:p>
        </w:tc>
        <w:tc>
          <w:tcPr>
            <w:tcW w:w="2500" w:type="dxa"/>
            <w:tcMar>
              <w:top w:w="100" w:type="dxa"/>
              <w:left w:w="100" w:type="dxa"/>
              <w:bottom w:w="100" w:type="dxa"/>
              <w:right w:w="100" w:type="dxa"/>
            </w:tcMar>
            <w:vAlign w:val="center"/>
          </w:tcPr>
          <w:p w14:paraId="2C11268F">
            <w:pPr>
              <w:pStyle w:val="171"/>
              <w:jc w:val="left"/>
            </w:pPr>
            <w:r>
              <w:rPr>
                <w:rFonts w:ascii="Times New Roman" w:hAnsi="Times New Roman" w:eastAsia="Songti SC" w:cs="Times New Roman"/>
                <w:b w:val="0"/>
                <w:sz w:val="17"/>
              </w:rPr>
              <w:t>高等数学基础</w:t>
            </w:r>
          </w:p>
        </w:tc>
        <w:tc>
          <w:tcPr>
            <w:tcW w:w="5000" w:type="dxa"/>
            <w:tcMar>
              <w:top w:w="100" w:type="dxa"/>
              <w:left w:w="100" w:type="dxa"/>
              <w:bottom w:w="100" w:type="dxa"/>
              <w:right w:w="100" w:type="dxa"/>
            </w:tcMar>
            <w:vAlign w:val="center"/>
          </w:tcPr>
          <w:p w14:paraId="4BEA3E9C">
            <w:pPr>
              <w:pStyle w:val="171"/>
              <w:keepNext w:val="0"/>
              <w:keepLines w:val="0"/>
              <w:jc w:val="left"/>
            </w:pPr>
            <w:r>
              <w:rPr>
                <w:rFonts w:ascii="Times New Roman" w:hAnsi="Times New Roman" w:eastAsia="Songti SC" w:cs="Times New Roman"/>
                <w:b w:val="0"/>
                <w:sz w:val="17"/>
              </w:rPr>
              <w:t>提供函数、导数、偏导数、矩阵运算和概率统计的初步理解。</w:t>
            </w:r>
          </w:p>
        </w:tc>
      </w:tr>
      <w:tr w14:paraId="70A5453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00" w:type="dxa"/>
            <w:tcMar>
              <w:top w:w="100" w:type="dxa"/>
              <w:left w:w="100" w:type="dxa"/>
              <w:bottom w:w="100" w:type="dxa"/>
              <w:right w:w="100" w:type="dxa"/>
            </w:tcMar>
            <w:vAlign w:val="center"/>
          </w:tcPr>
          <w:p w14:paraId="2ED742EF">
            <w:pPr>
              <w:pStyle w:val="171"/>
              <w:jc w:val="center"/>
            </w:pPr>
            <w:r>
              <w:rPr>
                <w:rFonts w:ascii="Times New Roman" w:hAnsi="Times New Roman" w:eastAsia="Songti SC" w:cs="Times New Roman"/>
                <w:b w:val="0"/>
                <w:sz w:val="17"/>
              </w:rPr>
              <w:t>3</w:t>
            </w:r>
          </w:p>
        </w:tc>
        <w:tc>
          <w:tcPr>
            <w:tcW w:w="2500" w:type="dxa"/>
            <w:tcMar>
              <w:top w:w="100" w:type="dxa"/>
              <w:left w:w="100" w:type="dxa"/>
              <w:bottom w:w="100" w:type="dxa"/>
              <w:right w:w="100" w:type="dxa"/>
            </w:tcMar>
            <w:vAlign w:val="center"/>
          </w:tcPr>
          <w:p w14:paraId="59C8332B">
            <w:pPr>
              <w:pStyle w:val="171"/>
              <w:jc w:val="left"/>
            </w:pPr>
            <w:r>
              <w:rPr>
                <w:rFonts w:ascii="Times New Roman" w:hAnsi="Times New Roman" w:eastAsia="Songti SC" w:cs="Times New Roman"/>
                <w:b w:val="0"/>
                <w:sz w:val="17"/>
              </w:rPr>
              <w:t>数据结构基础</w:t>
            </w:r>
          </w:p>
        </w:tc>
        <w:tc>
          <w:tcPr>
            <w:tcW w:w="5000" w:type="dxa"/>
            <w:tcMar>
              <w:top w:w="100" w:type="dxa"/>
              <w:left w:w="100" w:type="dxa"/>
              <w:bottom w:w="100" w:type="dxa"/>
              <w:right w:w="100" w:type="dxa"/>
            </w:tcMar>
            <w:vAlign w:val="center"/>
          </w:tcPr>
          <w:p w14:paraId="72C3676C">
            <w:pPr>
              <w:pStyle w:val="171"/>
              <w:keepNext w:val="0"/>
              <w:keepLines w:val="0"/>
              <w:jc w:val="left"/>
            </w:pPr>
            <w:r>
              <w:rPr>
                <w:rFonts w:ascii="Times New Roman" w:hAnsi="Times New Roman" w:eastAsia="Songti SC" w:cs="Times New Roman"/>
                <w:b w:val="0"/>
                <w:sz w:val="17"/>
              </w:rPr>
              <w:t>提供数组、序列、映射、迭代和算法复杂度意识。</w:t>
            </w:r>
          </w:p>
        </w:tc>
      </w:tr>
      <w:tr w14:paraId="5A6B8D1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00" w:type="dxa"/>
            <w:tcMar>
              <w:top w:w="100" w:type="dxa"/>
              <w:left w:w="100" w:type="dxa"/>
              <w:bottom w:w="100" w:type="dxa"/>
              <w:right w:w="100" w:type="dxa"/>
            </w:tcMar>
            <w:vAlign w:val="center"/>
          </w:tcPr>
          <w:p w14:paraId="7E0E45A6">
            <w:pPr>
              <w:pStyle w:val="171"/>
              <w:jc w:val="center"/>
            </w:pPr>
            <w:r>
              <w:rPr>
                <w:rFonts w:ascii="Times New Roman" w:hAnsi="Times New Roman" w:eastAsia="Songti SC" w:cs="Times New Roman"/>
                <w:b w:val="0"/>
                <w:sz w:val="17"/>
              </w:rPr>
              <w:t>4</w:t>
            </w:r>
          </w:p>
        </w:tc>
        <w:tc>
          <w:tcPr>
            <w:tcW w:w="2500" w:type="dxa"/>
            <w:tcMar>
              <w:top w:w="100" w:type="dxa"/>
              <w:left w:w="100" w:type="dxa"/>
              <w:bottom w:w="100" w:type="dxa"/>
              <w:right w:w="100" w:type="dxa"/>
            </w:tcMar>
            <w:vAlign w:val="center"/>
          </w:tcPr>
          <w:p w14:paraId="0A77966D">
            <w:pPr>
              <w:pStyle w:val="171"/>
              <w:jc w:val="left"/>
            </w:pPr>
            <w:r>
              <w:rPr>
                <w:rFonts w:ascii="Times New Roman" w:hAnsi="Times New Roman" w:eastAsia="Songti SC" w:cs="Times New Roman"/>
                <w:b w:val="0"/>
                <w:sz w:val="17"/>
              </w:rPr>
              <w:t>机器学习基础</w:t>
            </w:r>
          </w:p>
        </w:tc>
        <w:tc>
          <w:tcPr>
            <w:tcW w:w="5000" w:type="dxa"/>
            <w:tcMar>
              <w:top w:w="100" w:type="dxa"/>
              <w:left w:w="100" w:type="dxa"/>
              <w:bottom w:w="100" w:type="dxa"/>
              <w:right w:w="100" w:type="dxa"/>
            </w:tcMar>
            <w:vAlign w:val="center"/>
          </w:tcPr>
          <w:p w14:paraId="48F9083D">
            <w:pPr>
              <w:pStyle w:val="171"/>
              <w:keepNext w:val="0"/>
              <w:keepLines w:val="0"/>
              <w:jc w:val="left"/>
            </w:pPr>
            <w:r>
              <w:rPr>
                <w:rFonts w:ascii="Times New Roman" w:hAnsi="Times New Roman" w:eastAsia="Songti SC" w:cs="Times New Roman"/>
                <w:b w:val="0"/>
                <w:sz w:val="17"/>
              </w:rPr>
              <w:t>提供监督学习、数据划分、评价指标和模型泛化基本概念。</w:t>
            </w:r>
          </w:p>
        </w:tc>
      </w:tr>
      <w:tr w14:paraId="6B7499B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00" w:type="dxa"/>
            <w:shd w:val="clear" w:color="auto" w:fill="E7E6E6"/>
            <w:tcMar>
              <w:top w:w="100" w:type="dxa"/>
              <w:left w:w="100" w:type="dxa"/>
              <w:bottom w:w="100" w:type="dxa"/>
              <w:right w:w="100" w:type="dxa"/>
            </w:tcMar>
            <w:vAlign w:val="center"/>
          </w:tcPr>
          <w:p w14:paraId="2F17E691">
            <w:pPr>
              <w:pStyle w:val="171"/>
              <w:jc w:val="center"/>
            </w:pPr>
            <w:r>
              <w:rPr>
                <w:rFonts w:ascii="Arial" w:hAnsi="Arial" w:eastAsia="Heiti SC" w:cs="Arial"/>
                <w:b/>
                <w:sz w:val="17"/>
              </w:rPr>
              <w:t>序号</w:t>
            </w:r>
          </w:p>
        </w:tc>
        <w:tc>
          <w:tcPr>
            <w:tcW w:w="2500" w:type="dxa"/>
            <w:shd w:val="clear" w:color="auto" w:fill="E7E6E6"/>
            <w:tcMar>
              <w:top w:w="100" w:type="dxa"/>
              <w:left w:w="100" w:type="dxa"/>
              <w:bottom w:w="100" w:type="dxa"/>
              <w:right w:w="100" w:type="dxa"/>
            </w:tcMar>
            <w:vAlign w:val="center"/>
          </w:tcPr>
          <w:p w14:paraId="07C4818F">
            <w:pPr>
              <w:pStyle w:val="171"/>
              <w:jc w:val="center"/>
            </w:pPr>
            <w:r>
              <w:rPr>
                <w:rFonts w:ascii="Arial" w:hAnsi="Arial" w:eastAsia="Heiti SC" w:cs="Arial"/>
                <w:b/>
                <w:sz w:val="17"/>
              </w:rPr>
              <w:t>后续课程名称</w:t>
            </w:r>
          </w:p>
        </w:tc>
        <w:tc>
          <w:tcPr>
            <w:tcW w:w="5000" w:type="dxa"/>
            <w:shd w:val="clear" w:color="auto" w:fill="E7E6E6"/>
            <w:tcMar>
              <w:top w:w="100" w:type="dxa"/>
              <w:left w:w="100" w:type="dxa"/>
              <w:bottom w:w="100" w:type="dxa"/>
              <w:right w:w="100" w:type="dxa"/>
            </w:tcMar>
            <w:vAlign w:val="center"/>
          </w:tcPr>
          <w:p w14:paraId="791A3243">
            <w:pPr>
              <w:pStyle w:val="171"/>
              <w:keepNext w:val="0"/>
              <w:keepLines w:val="0"/>
              <w:jc w:val="left"/>
            </w:pPr>
            <w:r>
              <w:rPr>
                <w:rFonts w:ascii="Arial" w:hAnsi="Arial" w:eastAsia="Heiti SC" w:cs="Arial"/>
                <w:b/>
                <w:sz w:val="17"/>
              </w:rPr>
              <w:t>需要本课程支撑的主要能力</w:t>
            </w:r>
          </w:p>
        </w:tc>
      </w:tr>
      <w:tr w14:paraId="7AE4102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00" w:type="dxa"/>
            <w:tcMar>
              <w:top w:w="100" w:type="dxa"/>
              <w:left w:w="100" w:type="dxa"/>
              <w:bottom w:w="100" w:type="dxa"/>
              <w:right w:w="100" w:type="dxa"/>
            </w:tcMar>
            <w:vAlign w:val="center"/>
          </w:tcPr>
          <w:p w14:paraId="0DE568A7">
            <w:pPr>
              <w:pStyle w:val="171"/>
              <w:jc w:val="center"/>
            </w:pPr>
            <w:r>
              <w:rPr>
                <w:rFonts w:ascii="Times New Roman" w:hAnsi="Times New Roman" w:eastAsia="Songti SC" w:cs="Times New Roman"/>
                <w:b w:val="0"/>
                <w:sz w:val="17"/>
              </w:rPr>
              <w:t>1</w:t>
            </w:r>
          </w:p>
        </w:tc>
        <w:tc>
          <w:tcPr>
            <w:tcW w:w="2500" w:type="dxa"/>
            <w:tcMar>
              <w:top w:w="100" w:type="dxa"/>
              <w:left w:w="100" w:type="dxa"/>
              <w:bottom w:w="100" w:type="dxa"/>
              <w:right w:w="100" w:type="dxa"/>
            </w:tcMar>
            <w:vAlign w:val="center"/>
          </w:tcPr>
          <w:p w14:paraId="3E49BE49">
            <w:pPr>
              <w:pStyle w:val="171"/>
              <w:jc w:val="left"/>
            </w:pPr>
            <w:r>
              <w:rPr>
                <w:rFonts w:ascii="Times New Roman" w:hAnsi="Times New Roman" w:eastAsia="Songti SC" w:cs="Times New Roman"/>
                <w:b w:val="0"/>
                <w:sz w:val="17"/>
              </w:rPr>
              <w:t>计算机视觉综合应用与部署</w:t>
            </w:r>
          </w:p>
        </w:tc>
        <w:tc>
          <w:tcPr>
            <w:tcW w:w="5000" w:type="dxa"/>
            <w:tcMar>
              <w:top w:w="100" w:type="dxa"/>
              <w:left w:w="100" w:type="dxa"/>
              <w:bottom w:w="100" w:type="dxa"/>
              <w:right w:w="100" w:type="dxa"/>
            </w:tcMar>
            <w:vAlign w:val="center"/>
          </w:tcPr>
          <w:p w14:paraId="508AE0DA">
            <w:pPr>
              <w:pStyle w:val="171"/>
              <w:keepNext w:val="0"/>
              <w:keepLines w:val="0"/>
              <w:jc w:val="left"/>
            </w:pPr>
            <w:r>
              <w:rPr>
                <w:rFonts w:ascii="Times New Roman" w:hAnsi="Times New Roman" w:eastAsia="Songti SC" w:cs="Times New Roman"/>
                <w:b w:val="0"/>
                <w:sz w:val="17"/>
              </w:rPr>
              <w:t>需要CNN、图像增广、迁移微调、检测/分割、标注检查和视觉模型评价能力。</w:t>
            </w:r>
          </w:p>
        </w:tc>
      </w:tr>
      <w:tr w14:paraId="678CDF8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00" w:type="dxa"/>
            <w:tcMar>
              <w:top w:w="100" w:type="dxa"/>
              <w:left w:w="100" w:type="dxa"/>
              <w:bottom w:w="100" w:type="dxa"/>
              <w:right w:w="100" w:type="dxa"/>
            </w:tcMar>
            <w:vAlign w:val="center"/>
          </w:tcPr>
          <w:p w14:paraId="683B698A">
            <w:pPr>
              <w:pStyle w:val="171"/>
              <w:jc w:val="center"/>
            </w:pPr>
            <w:r>
              <w:rPr>
                <w:rFonts w:ascii="Times New Roman" w:hAnsi="Times New Roman" w:eastAsia="Songti SC" w:cs="Times New Roman"/>
                <w:b w:val="0"/>
                <w:sz w:val="17"/>
              </w:rPr>
              <w:t>2</w:t>
            </w:r>
          </w:p>
        </w:tc>
        <w:tc>
          <w:tcPr>
            <w:tcW w:w="2500" w:type="dxa"/>
            <w:tcMar>
              <w:top w:w="100" w:type="dxa"/>
              <w:left w:w="100" w:type="dxa"/>
              <w:bottom w:w="100" w:type="dxa"/>
              <w:right w:w="100" w:type="dxa"/>
            </w:tcMar>
            <w:vAlign w:val="center"/>
          </w:tcPr>
          <w:p w14:paraId="0E86519C">
            <w:pPr>
              <w:pStyle w:val="171"/>
              <w:jc w:val="left"/>
            </w:pPr>
            <w:r>
              <w:rPr>
                <w:rFonts w:ascii="Times New Roman" w:hAnsi="Times New Roman" w:eastAsia="Songti SC" w:cs="Times New Roman"/>
                <w:b w:val="0"/>
                <w:sz w:val="17"/>
              </w:rPr>
              <w:t>自然语言处理应用</w:t>
            </w:r>
          </w:p>
        </w:tc>
        <w:tc>
          <w:tcPr>
            <w:tcW w:w="5000" w:type="dxa"/>
            <w:tcMar>
              <w:top w:w="100" w:type="dxa"/>
              <w:left w:w="100" w:type="dxa"/>
              <w:bottom w:w="100" w:type="dxa"/>
              <w:right w:w="100" w:type="dxa"/>
            </w:tcMar>
            <w:vAlign w:val="center"/>
          </w:tcPr>
          <w:p w14:paraId="34A36D9A">
            <w:pPr>
              <w:pStyle w:val="171"/>
              <w:keepNext w:val="0"/>
              <w:keepLines w:val="0"/>
              <w:jc w:val="left"/>
            </w:pPr>
            <w:r>
              <w:rPr>
                <w:rFonts w:ascii="Times New Roman" w:hAnsi="Times New Roman" w:eastAsia="Songti SC" w:cs="Times New Roman"/>
                <w:b w:val="0"/>
                <w:sz w:val="17"/>
              </w:rPr>
              <w:t>需要序列建模、词嵌入、子词、BERT上下文表示和文本数据评价能力。</w:t>
            </w:r>
          </w:p>
        </w:tc>
      </w:tr>
      <w:tr w14:paraId="1F8D410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00" w:type="dxa"/>
            <w:tcMar>
              <w:top w:w="100" w:type="dxa"/>
              <w:left w:w="100" w:type="dxa"/>
              <w:bottom w:w="100" w:type="dxa"/>
              <w:right w:w="100" w:type="dxa"/>
            </w:tcMar>
            <w:vAlign w:val="center"/>
          </w:tcPr>
          <w:p w14:paraId="6C16C080">
            <w:pPr>
              <w:pStyle w:val="171"/>
              <w:jc w:val="center"/>
            </w:pPr>
            <w:r>
              <w:rPr>
                <w:rFonts w:ascii="Times New Roman" w:hAnsi="Times New Roman" w:eastAsia="Songti SC" w:cs="Times New Roman"/>
                <w:b w:val="0"/>
                <w:sz w:val="17"/>
              </w:rPr>
              <w:t>3</w:t>
            </w:r>
          </w:p>
        </w:tc>
        <w:tc>
          <w:tcPr>
            <w:tcW w:w="2500" w:type="dxa"/>
            <w:tcMar>
              <w:top w:w="100" w:type="dxa"/>
              <w:left w:w="100" w:type="dxa"/>
              <w:bottom w:w="100" w:type="dxa"/>
              <w:right w:w="100" w:type="dxa"/>
            </w:tcMar>
            <w:vAlign w:val="center"/>
          </w:tcPr>
          <w:p w14:paraId="527F3874">
            <w:pPr>
              <w:pStyle w:val="171"/>
              <w:jc w:val="left"/>
            </w:pPr>
            <w:r>
              <w:rPr>
                <w:rFonts w:ascii="Times New Roman" w:hAnsi="Times New Roman" w:eastAsia="Songti SC" w:cs="Times New Roman"/>
                <w:b w:val="0"/>
                <w:sz w:val="17"/>
              </w:rPr>
              <w:t>人工智能模型部署与运维</w:t>
            </w:r>
          </w:p>
        </w:tc>
        <w:tc>
          <w:tcPr>
            <w:tcW w:w="5000" w:type="dxa"/>
            <w:tcMar>
              <w:top w:w="100" w:type="dxa"/>
              <w:left w:w="100" w:type="dxa"/>
              <w:bottom w:w="100" w:type="dxa"/>
              <w:right w:w="100" w:type="dxa"/>
            </w:tcMar>
            <w:vAlign w:val="center"/>
          </w:tcPr>
          <w:p w14:paraId="108E5113">
            <w:pPr>
              <w:pStyle w:val="171"/>
              <w:keepNext w:val="0"/>
              <w:keepLines w:val="0"/>
              <w:jc w:val="left"/>
            </w:pPr>
            <w:r>
              <w:rPr>
                <w:rFonts w:ascii="Times New Roman" w:hAnsi="Times New Roman" w:eastAsia="Songti SC" w:cs="Times New Roman"/>
                <w:b w:val="0"/>
                <w:sz w:val="17"/>
              </w:rPr>
              <w:t>需要模型接口、设备迁移、检查点与词表版本复现和资源性能分析能力。</w:t>
            </w:r>
          </w:p>
        </w:tc>
      </w:tr>
      <w:tr w14:paraId="3B00999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00" w:type="dxa"/>
            <w:tcMar>
              <w:top w:w="100" w:type="dxa"/>
              <w:left w:w="100" w:type="dxa"/>
              <w:bottom w:w="100" w:type="dxa"/>
              <w:right w:w="100" w:type="dxa"/>
            </w:tcMar>
            <w:vAlign w:val="center"/>
          </w:tcPr>
          <w:p w14:paraId="2E2BE3FC">
            <w:pPr>
              <w:pStyle w:val="171"/>
              <w:jc w:val="center"/>
            </w:pPr>
            <w:r>
              <w:rPr>
                <w:rFonts w:ascii="Times New Roman" w:hAnsi="Times New Roman" w:eastAsia="Songti SC" w:cs="Times New Roman"/>
                <w:b w:val="0"/>
                <w:sz w:val="17"/>
              </w:rPr>
              <w:t>4</w:t>
            </w:r>
          </w:p>
        </w:tc>
        <w:tc>
          <w:tcPr>
            <w:tcW w:w="2500" w:type="dxa"/>
            <w:tcMar>
              <w:top w:w="100" w:type="dxa"/>
              <w:left w:w="100" w:type="dxa"/>
              <w:bottom w:w="100" w:type="dxa"/>
              <w:right w:w="100" w:type="dxa"/>
            </w:tcMar>
            <w:vAlign w:val="center"/>
          </w:tcPr>
          <w:p w14:paraId="5D9AED00">
            <w:pPr>
              <w:pStyle w:val="171"/>
              <w:jc w:val="left"/>
            </w:pPr>
            <w:r>
              <w:rPr>
                <w:rFonts w:ascii="Times New Roman" w:hAnsi="Times New Roman" w:eastAsia="Songti SC" w:cs="Times New Roman"/>
                <w:b w:val="0"/>
                <w:sz w:val="17"/>
              </w:rPr>
              <w:t>毕业综合实践</w:t>
            </w:r>
          </w:p>
        </w:tc>
        <w:tc>
          <w:tcPr>
            <w:tcW w:w="5000" w:type="dxa"/>
            <w:tcMar>
              <w:top w:w="100" w:type="dxa"/>
              <w:left w:w="100" w:type="dxa"/>
              <w:bottom w:w="100" w:type="dxa"/>
              <w:right w:w="100" w:type="dxa"/>
            </w:tcMar>
            <w:vAlign w:val="center"/>
          </w:tcPr>
          <w:p w14:paraId="59790C0B">
            <w:pPr>
              <w:pStyle w:val="171"/>
              <w:keepNext w:val="0"/>
              <w:keepLines w:val="0"/>
              <w:jc w:val="left"/>
            </w:pPr>
            <w:r>
              <w:rPr>
                <w:rFonts w:ascii="Times New Roman" w:hAnsi="Times New Roman" w:eastAsia="Songti SC" w:cs="Times New Roman"/>
                <w:b w:val="0"/>
                <w:sz w:val="17"/>
              </w:rPr>
              <w:t>需要完整项目流程、实验论证、技术报告、答辩与职业规范。</w:t>
            </w:r>
          </w:p>
        </w:tc>
      </w:tr>
    </w:tbl>
    <w:p w14:paraId="31D4DEDE">
      <w:pPr>
        <w:pStyle w:val="164"/>
      </w:pPr>
    </w:p>
    <w:p w14:paraId="49C4733F">
      <w:pPr>
        <w:pStyle w:val="167"/>
      </w:pPr>
      <w:r>
        <w:t>（三）课程设计思路</w:t>
      </w:r>
    </w:p>
    <w:p w14:paraId="1086122E">
      <w:pPr>
        <w:pStyle w:val="164"/>
      </w:pPr>
      <w:r>
        <w:t>课程设计遵循“能力产出导向、工作过程导向、理论实践一体、评价证据闭环”的原则。每个模块先提出真实或仿真的工作任务，再由任务需要引出概念与算法；理论讲解尽量落到张量形状、计算图、状态变量、评价指标和代码接口上，实训则要求学生以手算、最小样例、单元测试、训练曲线和答辩逐层证明实现正确。课程目标、模块任务、学习产出和评价量规相互对应，避免出现教学内容与考核脱节。</w:t>
      </w:r>
    </w:p>
    <w:p w14:paraId="1E9826C2">
      <w:pPr>
        <w:pStyle w:val="164"/>
      </w:pPr>
      <w:r>
        <w:t>内容组织采用“压缩基础—核心模型—应用拓展”的递进路线。基础阶段解决张量、数据、数学、自动微分、回归分类闭环以及非线性与泛化控制；核心模型阶段形成卷积图像分类和循环序列建模能力；应用阶段在既有模型基础上细讲图像增广、迁移微调、目标检测、语义分割、词嵌入、子词、预训练词向量和BERT上下文表示。四个应用模块各安排16学时，检测架构细节、风格迁移、完整竞赛训练和下游任务微调作为拓展，不进入核心评价。</w:t>
      </w:r>
    </w:p>
    <w:p w14:paraId="47F8B3F9">
      <w:pPr>
        <w:pStyle w:val="164"/>
      </w:pPr>
      <w:r>
        <w:t>教学实施采用任务驱动、案例分析、结对编程、代码走查、故障注入、可视化解释和项目答辩。教师在关键环节提供最小可运行基线和评价协议，学生在此基础上完成从零实现、框架实现与对照实验。对广播错误、数据泄漏、梯度未清零、模型模式错误、设备混用、隐状态未分离、图像标注错位、分割掩膜不同步、词表索引错位和预训练配置不匹配等典型故障，课程不直接给答案，而是让学生根据形状、日志、曲线、样例和测试定位根因。</w:t>
      </w:r>
    </w:p>
    <w:p w14:paraId="44939FF1">
      <w:pPr>
        <w:pStyle w:val="164"/>
      </w:pPr>
      <w:r>
        <w:t>课程建立统一实验规范：固定并记录随机种子；区分训练、验证和测试数据；记录数据与模型版本、软件环境、硬件、批量、学习率、训练轮数和评价指标；保存原始日志与失败运行；所有模型至少有最小输入测试；关键组件建立形状、梯度、边界框、标签掩膜、词表索引或预训练样本断言；对比实验一次只改变一个主要因素；结论必须由表格、曲线、样例或统计量支撑。该规范从第一个模块开始执行，到综合项目形成完整实验档案。</w:t>
      </w:r>
    </w:p>
    <w:p w14:paraId="599B1EE4">
      <w:pPr>
        <w:pStyle w:val="164"/>
      </w:pPr>
      <w:r>
        <w:t>学习评价强调过程性和多主体。教师评价关注知识解释、工程正确性和职业规范；自动测试检查数值、形状和接口；同伴评审检查可读性、复现说明和分工证据；学生自评反思错误、改进和资源使用。课程不按测试集最高分单一排名，而是综合模型效果、相对基线改进、训练稳定性、资源效率、分析质量和复现程度。对数据泄漏、伪造结果、无法复现或不能解释核心代码的成果设置否决性质量门槛。</w:t>
      </w:r>
    </w:p>
    <w:p w14:paraId="4803A40F">
      <w:pPr>
        <w:pStyle w:val="164"/>
      </w:pPr>
      <w:r>
        <w:t>课程实行持续改进。每个模块结束后收集达成度、常见错误、实训耗时和学生反馈，教师据此调整先修补救、任务难度和支架材料；综合项目结束后比较课程目标的直接评价和学生自评，识别形状推导、泛化诊断、序列状态、视觉标注与后处理、词嵌入数据管道或BERT输入构造中的薄弱项。下一轮教学保留有效基线与评价协议，更新数据、案例和软件接口，但不以追逐最新模型替代核心能力。</w:t>
      </w:r>
    </w:p>
    <w:p w14:paraId="02741D78">
      <w:pPr>
        <w:pStyle w:val="166"/>
      </w:pPr>
      <w:r>
        <w:t>二、课程目标</w:t>
      </w:r>
    </w:p>
    <w:p w14:paraId="3B9B4542">
      <w:pPr>
        <w:pStyle w:val="167"/>
      </w:pPr>
      <w:r>
        <w:t>（一）课程总目标</w:t>
      </w:r>
    </w:p>
    <w:p w14:paraId="225C8A81">
      <w:pPr>
        <w:pStyle w:val="165"/>
      </w:pPr>
      <w:r>
        <w:t>本课程以学生能够独立完成可复现的深度学习原型为总目标。学生应把数学与数据基础、模型原理、PyTorch实现、训练评价和职业规范整合起来，在明确任务边界、数据来源和资源约束的条件下，建立基线、实现模型、验证组件、分析结果、说明风险并交付成果。课程目标通过九个模块产出和综合项目直接评价，其中计算机视觉与文本预训练表示四个基础应用模块承担半数教学时间与评价分值。</w:t>
      </w:r>
    </w:p>
    <w:p w14:paraId="4EBCC574">
      <w:pPr>
        <w:pStyle w:val="168"/>
      </w:pPr>
      <w:r>
        <w:t>1. 知识与技能目标</w:t>
      </w:r>
    </w:p>
    <w:p w14:paraId="3AEFC0C4">
      <w:pPr>
        <w:pStyle w:val="164"/>
      </w:pPr>
      <w:r>
        <w:t>（1）能够熟练使用 PyTorch 进行张量创建、索引、广播、矩阵运算、自动微分和设备迁移，能够对常用运算的输入输出形状进行手工推导并用代码验证，能够把表格数据完成清洗、编码和张量化。</w:t>
      </w:r>
    </w:p>
    <w:p w14:paraId="244E2727">
      <w:pPr>
        <w:pStyle w:val="164"/>
      </w:pPr>
      <w:r>
        <w:t>（2）能够解释监督学习的数据、模型、损失和优化四要素，掌握线性回归、softmax、交叉熵、多层感知机、卷积与循环状态的核心计算，能说明图像增广、迁移学习、检测、分割、词嵌入和BERT预训练表示的基本原理、适用条件与局限。</w:t>
      </w:r>
    </w:p>
    <w:p w14:paraId="4DE8F4FA">
      <w:pPr>
        <w:pStyle w:val="164"/>
      </w:pPr>
      <w:r>
        <w:t>（3）能够从零实现线性回归、softmax、基本卷积/汇聚和基础RNN的关键环节；能够实现IoU、NMS、词向量样本构造和BERT输入检查等基础组件，并使用PyTorch高级API或教师提供的可靠骨架完成功能对应的应用实验。</w:t>
      </w:r>
    </w:p>
    <w:p w14:paraId="233591B4">
      <w:pPr>
        <w:pStyle w:val="164"/>
      </w:pPr>
      <w:r>
        <w:t>（4）能够构建可复用nn.Module，管理参数、初始化和检查点，完成CPU/GPU迁移；能够编写数据加载、训练、验证、推理、日志和评价接口，定位维度、梯度、模式、设备、状态、视觉标注和文本索引等常见工程错误。</w:t>
      </w:r>
    </w:p>
    <w:p w14:paraId="6EC95604">
      <w:pPr>
        <w:pStyle w:val="164"/>
      </w:pPr>
      <w:r>
        <w:t>（5）能够依据训练—验证曲线诊断欠拟合、过拟合和训练不稳定，运用正则化、数据增广、迁移微调和模型选择进行改进；能够在统一协议下报告分类、检测、分割、困惑度、相似度或掩蔽预测证据，并同时考虑参数量、吞吐、显存和训练时间。</w:t>
      </w:r>
    </w:p>
    <w:p w14:paraId="79E70F06">
      <w:pPr>
        <w:pStyle w:val="164"/>
      </w:pPr>
      <w:r>
        <w:t>（6）能够完成一个可复现的深度学习综合项目，提交代码、配置、数据说明、检查点、测试、实验报告和模型卡，能够在答辩中解释模型为何有效、何时失效以及采取了哪些风险控制。</w:t>
      </w:r>
    </w:p>
    <w:p w14:paraId="1AC2FFF0">
      <w:pPr>
        <w:pStyle w:val="168"/>
      </w:pPr>
      <w:r>
        <w:t>2. 过程与方法目标</w:t>
      </w:r>
    </w:p>
    <w:p w14:paraId="45E160C5">
      <w:pPr>
        <w:pStyle w:val="164"/>
      </w:pPr>
      <w:r>
        <w:t>（1）经历“问题定义—数据检查—基线建立—组件实现—单元测试—训练评价—误差诊断—受控改进—成果交付”的完整过程，形成从证据出发解决人工智能问题的方法。</w:t>
      </w:r>
    </w:p>
    <w:p w14:paraId="4E67205E">
      <w:pPr>
        <w:pStyle w:val="164"/>
      </w:pPr>
      <w:r>
        <w:t>（2）学会在运行前预测张量形状和数值范围，在运行后使用断言、有限差分、边界框与标签对齐、词表索引、预训练样本和恢复一致性进行交叉验证，避免以程序没有报错替代正确性证明。</w:t>
      </w:r>
    </w:p>
    <w:p w14:paraId="4E8F5B01">
      <w:pPr>
        <w:pStyle w:val="164"/>
      </w:pPr>
      <w:r>
        <w:t>（3）学会设计控制变量实验，固定数据划分、初始化和计算预算，使用多随机种子、均值与波动比较方案；学会保留失败实验并从日志、曲线、梯度和资源指标解释原因。</w:t>
      </w:r>
    </w:p>
    <w:p w14:paraId="3C9FF7AB">
      <w:pPr>
        <w:pStyle w:val="164"/>
      </w:pPr>
      <w:r>
        <w:t>（4）学会查阅官方文档、阅读错误信息和模块结构，能够把复杂模型分解为接口清晰的组件；在结对编程、代码评审和项目答辩中表达设计理由、接受质疑并根据证据迭代。</w:t>
      </w:r>
    </w:p>
    <w:p w14:paraId="27E9E024">
      <w:pPr>
        <w:pStyle w:val="164"/>
      </w:pPr>
      <w:r>
        <w:t>（5）学会面向不同任务和资源条件选择线性模型、MLP、CNN、RNN、迁移学习、基础检测/分割或预训练文本表示，不把算法选择简化为追逐最高指标；能综合精度、时延、显存、可维护性和风险给出工程建议。</w:t>
      </w:r>
    </w:p>
    <w:p w14:paraId="724A4373">
      <w:pPr>
        <w:pStyle w:val="168"/>
      </w:pPr>
      <w:r>
        <w:t>3. 情感、态度与价值目标</w:t>
      </w:r>
    </w:p>
    <w:p w14:paraId="260A8379">
      <w:pPr>
        <w:pStyle w:val="164"/>
      </w:pPr>
      <w:r>
        <w:t>（1）遵守数据授权、隐私保护、最小必要和安全存储要求，不使用预测时不可获得的信息，不以删除不利样本或选择性报告制造虚假效果。</w:t>
      </w:r>
    </w:p>
    <w:p w14:paraId="7EFFA1CF">
      <w:pPr>
        <w:pStyle w:val="164"/>
      </w:pPr>
      <w:r>
        <w:t>（2）形成可复现、可追溯和诚实报告的学术与职业规范，记录环境、版本、随机种子、配置和日志，标注引用与第三方代码来源，尊重开源许可证和知识产权。</w:t>
      </w:r>
    </w:p>
    <w:p w14:paraId="1A247218">
      <w:pPr>
        <w:pStyle w:val="164"/>
      </w:pPr>
      <w:r>
        <w:t>（3）认识模型输出是统计结果而非绝对事实，主动分析分布偏移、群体差异、检测漏报、分割边界、词向量偏见、预训练表示和适用边界；对高风险应用保持审慎并保留人工复核。</w:t>
      </w:r>
    </w:p>
    <w:p w14:paraId="0E36EC6D">
      <w:pPr>
        <w:pStyle w:val="164"/>
      </w:pPr>
      <w:r>
        <w:t>（4）形成团队协作、接口契约、代码评审和质量负责意识，能够按分工交付、复核他人成果、公开问题并共同修复，而不是只关注个人代码能否运行。</w:t>
      </w:r>
    </w:p>
    <w:p w14:paraId="62A5B5E0">
      <w:pPr>
        <w:pStyle w:val="164"/>
      </w:pPr>
      <w:r>
        <w:t>（5）关注 GPU、显存、电力和训练时间等资源成本，通过向量化、合理批量和适度实验提高效率，在性能目标与可持续计算之间作出负责任的选择。</w:t>
      </w:r>
    </w:p>
    <w:p w14:paraId="7C62739F">
      <w:pPr>
        <w:pStyle w:val="167"/>
      </w:pPr>
      <w:r>
        <w:t>（二）模块目标</w:t>
      </w:r>
    </w:p>
    <w:p w14:paraId="67FAA394">
      <w:pPr>
        <w:pStyle w:val="170"/>
      </w:pPr>
      <w:r>
        <w:t>表14  各模块具体目标</w:t>
      </w:r>
    </w:p>
    <w:tbl>
      <w:tblPr>
        <w:tblStyle w:val="32"/>
        <w:tblW w:w="8300"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250"/>
        <w:gridCol w:w="1750"/>
        <w:gridCol w:w="2200"/>
        <w:gridCol w:w="2250"/>
      </w:tblGrid>
      <w:tr w14:paraId="5B7F934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50" w:type="dxa"/>
            <w:vMerge w:val="restart"/>
            <w:tcBorders>
              <w:tl2br w:val="nil"/>
              <w:tr2bl w:val="nil"/>
            </w:tcBorders>
            <w:shd w:val="clear" w:color="auto" w:fill="E7E6E6"/>
            <w:tcMar>
              <w:top w:w="100" w:type="dxa"/>
              <w:left w:w="100" w:type="dxa"/>
              <w:bottom w:w="100" w:type="dxa"/>
              <w:right w:w="100" w:type="dxa"/>
            </w:tcMar>
            <w:vAlign w:val="center"/>
          </w:tcPr>
          <w:p w14:paraId="156258AF">
            <w:pPr>
              <w:pStyle w:val="171"/>
              <w:keepNext w:val="0"/>
              <w:keepLines w:val="0"/>
              <w:widowControl/>
              <w:autoSpaceDE w:val="0"/>
              <w:adjustRightInd w:val="0"/>
              <w:snapToGrid w:val="0"/>
              <w:spacing w:before="156" w:after="156" w:line="360" w:lineRule="exact"/>
              <w:jc w:val="center"/>
              <w:rPr>
                <w:rFonts w:ascii="宋体" w:hAnsi="宋体" w:eastAsia="宋体" w:cs="宋体"/>
                <w:bCs/>
                <w:kern w:val="0"/>
                <w:sz w:val="15"/>
                <w:szCs w:val="15"/>
              </w:rPr>
            </w:pPr>
            <w:r>
              <w:rPr>
                <w:rFonts w:hint="eastAsia" w:ascii="Arial" w:hAnsi="Arial" w:eastAsia="Heiti SC" w:cs="Arial"/>
                <w:b/>
                <w:bCs/>
                <w:kern w:val="0"/>
                <w:sz w:val="17"/>
                <w:szCs w:val="15"/>
                <w:lang w:val="en-AU"/>
              </w:rPr>
              <w:t>模块</w:t>
            </w:r>
            <w:r>
              <w:rPr>
                <w:rFonts w:hint="eastAsia" w:ascii="Arial" w:hAnsi="Arial" w:eastAsia="Heiti SC" w:cs="Arial"/>
                <w:b/>
                <w:bCs/>
                <w:kern w:val="0"/>
                <w:sz w:val="17"/>
                <w:szCs w:val="15"/>
              </w:rPr>
              <w:t>名称</w:t>
            </w:r>
          </w:p>
        </w:tc>
        <w:tc>
          <w:tcPr>
            <w:tcW w:w="1250" w:type="dxa"/>
            <w:vMerge w:val="restart"/>
            <w:tcBorders>
              <w:tl2br w:val="nil"/>
              <w:tr2bl w:val="nil"/>
            </w:tcBorders>
            <w:shd w:val="clear" w:color="auto" w:fill="E7E6E6"/>
            <w:tcMar>
              <w:top w:w="100" w:type="dxa"/>
              <w:left w:w="100" w:type="dxa"/>
              <w:bottom w:w="100" w:type="dxa"/>
              <w:right w:w="100" w:type="dxa"/>
            </w:tcMar>
            <w:vAlign w:val="center"/>
          </w:tcPr>
          <w:p w14:paraId="78F0E4F9">
            <w:pPr>
              <w:pStyle w:val="171"/>
              <w:keepNext w:val="0"/>
              <w:keepLines w:val="0"/>
              <w:widowControl/>
              <w:autoSpaceDE w:val="0"/>
              <w:adjustRightInd w:val="0"/>
              <w:snapToGrid w:val="0"/>
              <w:spacing w:before="156" w:after="156" w:line="360" w:lineRule="exact"/>
              <w:jc w:val="center"/>
              <w:rPr>
                <w:rFonts w:ascii="宋体" w:hAnsi="宋体" w:eastAsia="宋体" w:cs="宋体"/>
                <w:bCs/>
                <w:kern w:val="0"/>
                <w:sz w:val="15"/>
                <w:szCs w:val="15"/>
              </w:rPr>
            </w:pPr>
            <w:r>
              <w:rPr>
                <w:rFonts w:hint="eastAsia" w:ascii="Arial" w:hAnsi="Arial" w:eastAsia="Heiti SC" w:cs="Arial"/>
                <w:b/>
                <w:bCs/>
                <w:kern w:val="0"/>
                <w:sz w:val="17"/>
                <w:szCs w:val="15"/>
              </w:rPr>
              <w:t>专题/任务名称</w:t>
            </w:r>
          </w:p>
        </w:tc>
        <w:tc>
          <w:tcPr>
            <w:tcW w:w="6200" w:type="dxa"/>
            <w:gridSpan w:val="3"/>
            <w:tcBorders>
              <w:tl2br w:val="nil"/>
              <w:tr2bl w:val="nil"/>
            </w:tcBorders>
            <w:shd w:val="clear" w:color="auto" w:fill="E7E6E6"/>
            <w:tcMar>
              <w:top w:w="100" w:type="dxa"/>
              <w:left w:w="100" w:type="dxa"/>
              <w:bottom w:w="100" w:type="dxa"/>
              <w:right w:w="100" w:type="dxa"/>
            </w:tcMar>
            <w:vAlign w:val="center"/>
          </w:tcPr>
          <w:p w14:paraId="4C8D1586">
            <w:pPr>
              <w:pStyle w:val="171"/>
              <w:keepNext w:val="0"/>
              <w:keepLines w:val="0"/>
              <w:widowControl/>
              <w:autoSpaceDE w:val="0"/>
              <w:adjustRightInd w:val="0"/>
              <w:snapToGrid w:val="0"/>
              <w:spacing w:line="360" w:lineRule="exact"/>
              <w:jc w:val="center"/>
              <w:rPr>
                <w:rFonts w:ascii="宋体" w:hAnsi="宋体" w:eastAsia="宋体" w:cs="宋体"/>
                <w:bCs/>
                <w:kern w:val="0"/>
                <w:sz w:val="15"/>
                <w:szCs w:val="15"/>
                <w:lang w:val="en-AU"/>
              </w:rPr>
            </w:pPr>
            <w:r>
              <w:rPr>
                <w:rFonts w:hint="eastAsia" w:ascii="Arial" w:hAnsi="Arial" w:eastAsia="Heiti SC" w:cs="Arial"/>
                <w:b/>
                <w:bCs/>
                <w:kern w:val="0"/>
                <w:sz w:val="17"/>
                <w:szCs w:val="15"/>
                <w:lang w:val="en-AU"/>
              </w:rPr>
              <w:t>具体目标</w:t>
            </w:r>
          </w:p>
        </w:tc>
      </w:tr>
      <w:tr w14:paraId="560D83D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850" w:type="dxa"/>
            <w:vMerge w:val="continue"/>
            <w:tcBorders>
              <w:tl2br w:val="nil"/>
              <w:tr2bl w:val="nil"/>
            </w:tcBorders>
          </w:tcPr>
          <w:p w14:paraId="48416C86">
            <w:pPr>
              <w:widowControl/>
              <w:autoSpaceDE w:val="0"/>
              <w:adjustRightInd w:val="0"/>
              <w:snapToGrid w:val="0"/>
              <w:spacing w:before="156" w:after="156" w:line="360" w:lineRule="exact"/>
              <w:rPr>
                <w:rFonts w:ascii="宋体" w:hAnsi="宋体" w:eastAsia="宋体" w:cs="宋体"/>
                <w:bCs/>
                <w:kern w:val="0"/>
                <w:sz w:val="15"/>
                <w:szCs w:val="15"/>
                <w:lang w:val="en-AU"/>
              </w:rPr>
            </w:pPr>
          </w:p>
        </w:tc>
        <w:tc>
          <w:tcPr>
            <w:tcW w:w="1250" w:type="dxa"/>
            <w:vMerge w:val="continue"/>
            <w:tcBorders>
              <w:tl2br w:val="nil"/>
              <w:tr2bl w:val="nil"/>
            </w:tcBorders>
            <w:vAlign w:val="center"/>
          </w:tcPr>
          <w:p w14:paraId="10ED1BD6">
            <w:pPr>
              <w:widowControl/>
              <w:autoSpaceDE w:val="0"/>
              <w:adjustRightInd w:val="0"/>
              <w:snapToGrid w:val="0"/>
              <w:spacing w:before="156" w:after="156" w:line="360" w:lineRule="exact"/>
              <w:rPr>
                <w:rFonts w:ascii="宋体" w:hAnsi="宋体" w:eastAsia="宋体" w:cs="宋体"/>
                <w:bCs/>
                <w:kern w:val="0"/>
                <w:sz w:val="15"/>
                <w:szCs w:val="15"/>
                <w:lang w:val="en-AU"/>
              </w:rPr>
            </w:pPr>
          </w:p>
        </w:tc>
        <w:tc>
          <w:tcPr>
            <w:tcW w:w="1750" w:type="dxa"/>
            <w:tcBorders>
              <w:tl2br w:val="nil"/>
              <w:tr2bl w:val="nil"/>
            </w:tcBorders>
            <w:shd w:val="clear" w:color="auto" w:fill="E7E6E6"/>
            <w:tcMar>
              <w:top w:w="100" w:type="dxa"/>
              <w:left w:w="100" w:type="dxa"/>
              <w:bottom w:w="100" w:type="dxa"/>
              <w:right w:w="100" w:type="dxa"/>
            </w:tcMar>
            <w:vAlign w:val="center"/>
          </w:tcPr>
          <w:p w14:paraId="73519B55">
            <w:pPr>
              <w:pStyle w:val="171"/>
              <w:keepNext w:val="0"/>
              <w:keepLines w:val="0"/>
              <w:widowControl/>
              <w:autoSpaceDE w:val="0"/>
              <w:adjustRightInd w:val="0"/>
              <w:snapToGrid w:val="0"/>
              <w:spacing w:line="360" w:lineRule="exact"/>
              <w:jc w:val="center"/>
              <w:rPr>
                <w:rFonts w:ascii="宋体" w:hAnsi="宋体" w:eastAsia="宋体" w:cs="宋体"/>
                <w:bCs/>
                <w:kern w:val="0"/>
                <w:sz w:val="15"/>
                <w:szCs w:val="15"/>
              </w:rPr>
            </w:pPr>
            <w:r>
              <w:rPr>
                <w:rFonts w:hint="eastAsia" w:ascii="Arial" w:hAnsi="Arial" w:eastAsia="Heiti SC" w:cs="Arial"/>
                <w:b/>
                <w:bCs/>
                <w:kern w:val="0"/>
                <w:sz w:val="17"/>
                <w:szCs w:val="15"/>
              </w:rPr>
              <w:t>知识与技能</w:t>
            </w:r>
          </w:p>
        </w:tc>
        <w:tc>
          <w:tcPr>
            <w:tcW w:w="2200" w:type="dxa"/>
            <w:tcBorders>
              <w:tl2br w:val="nil"/>
              <w:tr2bl w:val="nil"/>
            </w:tcBorders>
            <w:shd w:val="clear" w:color="auto" w:fill="E7E6E6"/>
            <w:tcMar>
              <w:top w:w="100" w:type="dxa"/>
              <w:left w:w="100" w:type="dxa"/>
              <w:bottom w:w="100" w:type="dxa"/>
              <w:right w:w="100" w:type="dxa"/>
            </w:tcMar>
            <w:vAlign w:val="center"/>
          </w:tcPr>
          <w:p w14:paraId="1CC10DBB">
            <w:pPr>
              <w:pStyle w:val="171"/>
              <w:keepNext w:val="0"/>
              <w:keepLines w:val="0"/>
              <w:widowControl/>
              <w:tabs>
                <w:tab w:val="center" w:pos="2883"/>
                <w:tab w:val="left" w:pos="4279"/>
              </w:tabs>
              <w:autoSpaceDE w:val="0"/>
              <w:adjustRightInd w:val="0"/>
              <w:snapToGrid w:val="0"/>
              <w:spacing w:line="360" w:lineRule="exact"/>
              <w:jc w:val="center"/>
              <w:rPr>
                <w:rFonts w:ascii="宋体" w:hAnsi="宋体" w:eastAsia="宋体" w:cs="宋体"/>
                <w:bCs/>
                <w:kern w:val="0"/>
                <w:sz w:val="15"/>
                <w:szCs w:val="15"/>
              </w:rPr>
            </w:pPr>
            <w:r>
              <w:rPr>
                <w:rFonts w:hint="eastAsia" w:ascii="Arial" w:hAnsi="Arial" w:eastAsia="Heiti SC" w:cs="Arial"/>
                <w:b/>
                <w:bCs/>
                <w:kern w:val="0"/>
                <w:sz w:val="17"/>
                <w:szCs w:val="15"/>
              </w:rPr>
              <w:t>过程与方法</w:t>
            </w:r>
          </w:p>
        </w:tc>
        <w:tc>
          <w:tcPr>
            <w:tcW w:w="2250" w:type="dxa"/>
            <w:tcBorders>
              <w:tl2br w:val="nil"/>
              <w:tr2bl w:val="nil"/>
            </w:tcBorders>
            <w:shd w:val="clear" w:color="auto" w:fill="E7E6E6"/>
            <w:tcMar>
              <w:top w:w="100" w:type="dxa"/>
              <w:left w:w="100" w:type="dxa"/>
              <w:bottom w:w="100" w:type="dxa"/>
              <w:right w:w="100" w:type="dxa"/>
            </w:tcMar>
            <w:vAlign w:val="center"/>
          </w:tcPr>
          <w:p w14:paraId="35389088">
            <w:pPr>
              <w:pStyle w:val="171"/>
              <w:keepNext w:val="0"/>
              <w:keepLines w:val="0"/>
              <w:widowControl/>
              <w:autoSpaceDE w:val="0"/>
              <w:adjustRightInd w:val="0"/>
              <w:snapToGrid w:val="0"/>
              <w:spacing w:line="360" w:lineRule="exact"/>
              <w:jc w:val="center"/>
              <w:rPr>
                <w:rFonts w:ascii="宋体" w:hAnsi="宋体" w:eastAsia="宋体" w:cs="宋体"/>
                <w:bCs/>
                <w:kern w:val="0"/>
                <w:sz w:val="15"/>
                <w:szCs w:val="15"/>
              </w:rPr>
            </w:pPr>
            <w:r>
              <w:rPr>
                <w:rFonts w:hint="eastAsia" w:ascii="Arial" w:hAnsi="Arial" w:eastAsia="Heiti SC" w:cs="Arial"/>
                <w:b/>
                <w:bCs/>
                <w:kern w:val="0"/>
                <w:sz w:val="17"/>
                <w:szCs w:val="15"/>
              </w:rPr>
              <w:t>情感与态度</w:t>
            </w:r>
          </w:p>
        </w:tc>
      </w:tr>
      <w:tr w14:paraId="04E819F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4A4ABDAF">
            <w:pPr>
              <w:pStyle w:val="171"/>
              <w:jc w:val="left"/>
            </w:pPr>
            <w:r>
              <w:rPr>
                <w:rFonts w:ascii="Times New Roman" w:hAnsi="Times New Roman" w:eastAsia="Songti SC" w:cs="Times New Roman"/>
                <w:b w:val="0"/>
                <w:sz w:val="17"/>
              </w:rPr>
              <w:t>M1</w:t>
            </w:r>
            <w:r>
              <w:br w:type="textWrapping"/>
            </w:r>
            <w:r>
              <w:rPr>
                <w:rFonts w:ascii="Times New Roman" w:hAnsi="Times New Roman" w:eastAsia="Songti SC" w:cs="Times New Roman"/>
                <w:b w:val="0"/>
                <w:sz w:val="17"/>
              </w:rPr>
              <w:t>深度学习预备知识与 PyTorch 基础</w:t>
            </w:r>
          </w:p>
        </w:tc>
        <w:tc>
          <w:tcPr>
            <w:tcW w:w="1250" w:type="dxa"/>
            <w:tcMar>
              <w:top w:w="100" w:type="dxa"/>
              <w:left w:w="100" w:type="dxa"/>
              <w:bottom w:w="100" w:type="dxa"/>
              <w:right w:w="100" w:type="dxa"/>
            </w:tcMar>
            <w:vAlign w:val="center"/>
          </w:tcPr>
          <w:p w14:paraId="17DC5CA8">
            <w:pPr>
              <w:pStyle w:val="171"/>
              <w:jc w:val="left"/>
            </w:pPr>
            <w:r>
              <w:rPr>
                <w:rFonts w:ascii="Times New Roman" w:hAnsi="Times New Roman" w:eastAsia="Songti SC" w:cs="Times New Roman"/>
                <w:b w:val="0"/>
                <w:sz w:val="17"/>
              </w:rPr>
              <w:t>数据、数学与自动微分基础</w:t>
            </w:r>
          </w:p>
        </w:tc>
        <w:tc>
          <w:tcPr>
            <w:tcW w:w="1750" w:type="dxa"/>
            <w:tcMar>
              <w:top w:w="100" w:type="dxa"/>
              <w:left w:w="100" w:type="dxa"/>
              <w:bottom w:w="100" w:type="dxa"/>
              <w:right w:w="100" w:type="dxa"/>
            </w:tcMar>
            <w:vAlign w:val="center"/>
          </w:tcPr>
          <w:p w14:paraId="1745937F">
            <w:pPr>
              <w:pStyle w:val="171"/>
              <w:jc w:val="left"/>
            </w:pPr>
            <w:r>
              <w:rPr>
                <w:rFonts w:ascii="Times New Roman" w:hAnsi="Times New Roman" w:eastAsia="Songti SC" w:cs="Times New Roman"/>
                <w:b w:val="0"/>
                <w:sz w:val="17"/>
              </w:rPr>
              <w:t>掌握深度学习所需的数据、数学和自动微分基础，能够解释常用运算的形状与含义。</w:t>
            </w:r>
          </w:p>
        </w:tc>
        <w:tc>
          <w:tcPr>
            <w:tcW w:w="2200" w:type="dxa"/>
            <w:tcMar>
              <w:top w:w="100" w:type="dxa"/>
              <w:left w:w="100" w:type="dxa"/>
              <w:bottom w:w="100" w:type="dxa"/>
              <w:right w:w="100" w:type="dxa"/>
            </w:tcMar>
            <w:vAlign w:val="center"/>
          </w:tcPr>
          <w:p w14:paraId="2E605AD5">
            <w:pPr>
              <w:pStyle w:val="171"/>
              <w:jc w:val="left"/>
            </w:pPr>
            <w:r>
              <w:rPr>
                <w:rFonts w:ascii="Times New Roman" w:hAnsi="Times New Roman" w:eastAsia="Songti SC" w:cs="Times New Roman"/>
                <w:b w:val="0"/>
                <w:sz w:val="17"/>
              </w:rPr>
              <w:t>遵循“先手算预测—再编码实现—后断言验证—最终反思”的实验过程。</w:t>
            </w:r>
          </w:p>
        </w:tc>
        <w:tc>
          <w:tcPr>
            <w:tcW w:w="2250" w:type="dxa"/>
            <w:tcMar>
              <w:top w:w="100" w:type="dxa"/>
              <w:left w:w="100" w:type="dxa"/>
              <w:bottom w:w="100" w:type="dxa"/>
              <w:right w:w="100" w:type="dxa"/>
            </w:tcMar>
            <w:vAlign w:val="center"/>
          </w:tcPr>
          <w:p w14:paraId="21947B16">
            <w:pPr>
              <w:pStyle w:val="171"/>
              <w:keepNext w:val="0"/>
              <w:keepLines w:val="0"/>
              <w:jc w:val="left"/>
            </w:pPr>
            <w:r>
              <w:rPr>
                <w:rFonts w:ascii="Times New Roman" w:hAnsi="Times New Roman" w:eastAsia="Songti SC" w:cs="Times New Roman"/>
                <w:b w:val="0"/>
                <w:sz w:val="17"/>
              </w:rPr>
              <w:t>形成数据质量、数值严谨、文档检索和可复现实验意识。</w:t>
            </w:r>
          </w:p>
        </w:tc>
      </w:tr>
      <w:tr w14:paraId="2EB9CEE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36F80542">
            <w:pPr>
              <w:pStyle w:val="171"/>
              <w:jc w:val="left"/>
            </w:pPr>
            <w:r>
              <w:rPr>
                <w:rFonts w:ascii="Times New Roman" w:hAnsi="Times New Roman" w:eastAsia="Songti SC" w:cs="Times New Roman"/>
                <w:b w:val="0"/>
                <w:sz w:val="17"/>
              </w:rPr>
              <w:t>M2</w:t>
            </w:r>
            <w:r>
              <w:br w:type="textWrapping"/>
            </w:r>
            <w:r>
              <w:rPr>
                <w:rFonts w:ascii="Times New Roman" w:hAnsi="Times New Roman" w:eastAsia="Songti SC" w:cs="Times New Roman"/>
                <w:b w:val="0"/>
                <w:sz w:val="17"/>
              </w:rPr>
              <w:t>线性回归与 Softmax 分类</w:t>
            </w:r>
          </w:p>
        </w:tc>
        <w:tc>
          <w:tcPr>
            <w:tcW w:w="1250" w:type="dxa"/>
            <w:tcMar>
              <w:top w:w="100" w:type="dxa"/>
              <w:left w:w="100" w:type="dxa"/>
              <w:bottom w:w="100" w:type="dxa"/>
              <w:right w:w="100" w:type="dxa"/>
            </w:tcMar>
            <w:vAlign w:val="center"/>
          </w:tcPr>
          <w:p w14:paraId="2ACC4496">
            <w:pPr>
              <w:pStyle w:val="171"/>
              <w:jc w:val="left"/>
            </w:pPr>
            <w:r>
              <w:rPr>
                <w:rFonts w:ascii="Times New Roman" w:hAnsi="Times New Roman" w:eastAsia="Songti SC" w:cs="Times New Roman"/>
                <w:b w:val="0"/>
                <w:sz w:val="17"/>
              </w:rPr>
              <w:t>监督学习与线性模型</w:t>
            </w:r>
          </w:p>
        </w:tc>
        <w:tc>
          <w:tcPr>
            <w:tcW w:w="1750" w:type="dxa"/>
            <w:tcMar>
              <w:top w:w="100" w:type="dxa"/>
              <w:left w:w="100" w:type="dxa"/>
              <w:bottom w:w="100" w:type="dxa"/>
              <w:right w:w="100" w:type="dxa"/>
            </w:tcMar>
            <w:vAlign w:val="center"/>
          </w:tcPr>
          <w:p w14:paraId="20BC22D5">
            <w:pPr>
              <w:pStyle w:val="171"/>
              <w:jc w:val="left"/>
            </w:pPr>
            <w:r>
              <w:rPr>
                <w:rFonts w:ascii="Times New Roman" w:hAnsi="Times New Roman" w:eastAsia="Songti SC" w:cs="Times New Roman"/>
                <w:b w:val="0"/>
                <w:sz w:val="17"/>
              </w:rPr>
              <w:t>掌握回归、分类、损失函数和小批量优化的基本训练闭环。</w:t>
            </w:r>
          </w:p>
        </w:tc>
        <w:tc>
          <w:tcPr>
            <w:tcW w:w="2200" w:type="dxa"/>
            <w:tcMar>
              <w:top w:w="100" w:type="dxa"/>
              <w:left w:w="100" w:type="dxa"/>
              <w:bottom w:w="100" w:type="dxa"/>
              <w:right w:w="100" w:type="dxa"/>
            </w:tcMar>
            <w:vAlign w:val="center"/>
          </w:tcPr>
          <w:p w14:paraId="1EA565EA">
            <w:pPr>
              <w:pStyle w:val="171"/>
              <w:jc w:val="left"/>
            </w:pPr>
            <w:r>
              <w:rPr>
                <w:rFonts w:ascii="Times New Roman" w:hAnsi="Times New Roman" w:eastAsia="Songti SC" w:cs="Times New Roman"/>
                <w:b w:val="0"/>
                <w:sz w:val="17"/>
              </w:rPr>
              <w:t>通过从零实现与简洁实现逐项映射，建立基线、验证和对照思维。</w:t>
            </w:r>
          </w:p>
        </w:tc>
        <w:tc>
          <w:tcPr>
            <w:tcW w:w="2250" w:type="dxa"/>
            <w:tcMar>
              <w:top w:w="100" w:type="dxa"/>
              <w:left w:w="100" w:type="dxa"/>
              <w:bottom w:w="100" w:type="dxa"/>
              <w:right w:w="100" w:type="dxa"/>
            </w:tcMar>
            <w:vAlign w:val="center"/>
          </w:tcPr>
          <w:p w14:paraId="2104B448">
            <w:pPr>
              <w:pStyle w:val="171"/>
              <w:keepNext w:val="0"/>
              <w:keepLines w:val="0"/>
              <w:jc w:val="left"/>
            </w:pPr>
            <w:r>
              <w:rPr>
                <w:rFonts w:ascii="Times New Roman" w:hAnsi="Times New Roman" w:eastAsia="Songti SC" w:cs="Times New Roman"/>
                <w:b w:val="0"/>
                <w:sz w:val="17"/>
              </w:rPr>
              <w:t>重视测试集边界、实验记录和结果解释，不以单一准确率代替质量判断。</w:t>
            </w:r>
          </w:p>
        </w:tc>
      </w:tr>
      <w:tr w14:paraId="272161B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5584C916">
            <w:pPr>
              <w:pStyle w:val="171"/>
              <w:jc w:val="left"/>
            </w:pPr>
            <w:r>
              <w:rPr>
                <w:rFonts w:ascii="Times New Roman" w:hAnsi="Times New Roman" w:eastAsia="Songti SC" w:cs="Times New Roman"/>
                <w:b w:val="0"/>
                <w:sz w:val="17"/>
              </w:rPr>
              <w:t>M3</w:t>
            </w:r>
            <w:r>
              <w:br w:type="textWrapping"/>
            </w:r>
            <w:r>
              <w:rPr>
                <w:rFonts w:ascii="Times New Roman" w:hAnsi="Times New Roman" w:eastAsia="Songti SC" w:cs="Times New Roman"/>
                <w:b w:val="0"/>
                <w:sz w:val="17"/>
              </w:rPr>
              <w:t>多层感知机、泛化与正则化</w:t>
            </w:r>
          </w:p>
        </w:tc>
        <w:tc>
          <w:tcPr>
            <w:tcW w:w="1250" w:type="dxa"/>
            <w:tcMar>
              <w:top w:w="100" w:type="dxa"/>
              <w:left w:w="100" w:type="dxa"/>
              <w:bottom w:w="100" w:type="dxa"/>
              <w:right w:w="100" w:type="dxa"/>
            </w:tcMar>
            <w:vAlign w:val="center"/>
          </w:tcPr>
          <w:p w14:paraId="7361C69F">
            <w:pPr>
              <w:pStyle w:val="171"/>
              <w:jc w:val="left"/>
            </w:pPr>
            <w:r>
              <w:rPr>
                <w:rFonts w:ascii="Times New Roman" w:hAnsi="Times New Roman" w:eastAsia="Songti SC" w:cs="Times New Roman"/>
                <w:b w:val="0"/>
                <w:sz w:val="17"/>
              </w:rPr>
              <w:t>非线性网络与泛化控制</w:t>
            </w:r>
          </w:p>
        </w:tc>
        <w:tc>
          <w:tcPr>
            <w:tcW w:w="1750" w:type="dxa"/>
            <w:tcMar>
              <w:top w:w="100" w:type="dxa"/>
              <w:left w:w="100" w:type="dxa"/>
              <w:bottom w:w="100" w:type="dxa"/>
              <w:right w:w="100" w:type="dxa"/>
            </w:tcMar>
            <w:vAlign w:val="center"/>
          </w:tcPr>
          <w:p w14:paraId="7740EB97">
            <w:pPr>
              <w:pStyle w:val="171"/>
              <w:jc w:val="left"/>
            </w:pPr>
            <w:r>
              <w:rPr>
                <w:rFonts w:ascii="Times New Roman" w:hAnsi="Times New Roman" w:eastAsia="Songti SC" w:cs="Times New Roman"/>
                <w:b w:val="0"/>
                <w:sz w:val="17"/>
              </w:rPr>
              <w:t>掌握多层非线性网络及泛化控制的核心原理，能对训练异常给出依据充分的诊断。</w:t>
            </w:r>
          </w:p>
        </w:tc>
        <w:tc>
          <w:tcPr>
            <w:tcW w:w="2200" w:type="dxa"/>
            <w:tcMar>
              <w:top w:w="100" w:type="dxa"/>
              <w:left w:w="100" w:type="dxa"/>
              <w:bottom w:w="100" w:type="dxa"/>
              <w:right w:w="100" w:type="dxa"/>
            </w:tcMar>
            <w:vAlign w:val="center"/>
          </w:tcPr>
          <w:p w14:paraId="6A16E5B6">
            <w:pPr>
              <w:pStyle w:val="171"/>
              <w:jc w:val="left"/>
            </w:pPr>
            <w:r>
              <w:rPr>
                <w:rFonts w:ascii="Times New Roman" w:hAnsi="Times New Roman" w:eastAsia="Songti SC" w:cs="Times New Roman"/>
                <w:b w:val="0"/>
                <w:sz w:val="17"/>
              </w:rPr>
              <w:t>运用训练—验证曲线、交叉验证、基线和消融实验作出模型选择。</w:t>
            </w:r>
          </w:p>
        </w:tc>
        <w:tc>
          <w:tcPr>
            <w:tcW w:w="2250" w:type="dxa"/>
            <w:tcMar>
              <w:top w:w="100" w:type="dxa"/>
              <w:left w:w="100" w:type="dxa"/>
              <w:bottom w:w="100" w:type="dxa"/>
              <w:right w:w="100" w:type="dxa"/>
            </w:tcMar>
            <w:vAlign w:val="center"/>
          </w:tcPr>
          <w:p w14:paraId="5B1C7CF3">
            <w:pPr>
              <w:pStyle w:val="171"/>
              <w:keepNext w:val="0"/>
              <w:keepLines w:val="0"/>
              <w:jc w:val="left"/>
            </w:pPr>
            <w:r>
              <w:rPr>
                <w:rFonts w:ascii="Times New Roman" w:hAnsi="Times New Roman" w:eastAsia="Songti SC" w:cs="Times New Roman"/>
                <w:b w:val="0"/>
                <w:sz w:val="17"/>
              </w:rPr>
              <w:t>重视数据泄漏、分布偏移、公平责任和模型边界，形成审慎部署意识。</w:t>
            </w:r>
          </w:p>
        </w:tc>
      </w:tr>
      <w:tr w14:paraId="6DEA46F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633DAC9D">
            <w:pPr>
              <w:pStyle w:val="171"/>
              <w:jc w:val="left"/>
            </w:pPr>
            <w:r>
              <w:rPr>
                <w:rFonts w:ascii="Times New Roman" w:hAnsi="Times New Roman" w:eastAsia="Songti SC" w:cs="Times New Roman"/>
                <w:b w:val="0"/>
                <w:sz w:val="17"/>
              </w:rPr>
              <w:t>M4</w:t>
            </w:r>
            <w:r>
              <w:br w:type="textWrapping"/>
            </w:r>
            <w:r>
              <w:rPr>
                <w:rFonts w:ascii="Times New Roman" w:hAnsi="Times New Roman" w:eastAsia="Songti SC" w:cs="Times New Roman"/>
                <w:b w:val="0"/>
                <w:sz w:val="17"/>
              </w:rPr>
              <w:t>卷积神经网络与图像分类</w:t>
            </w:r>
          </w:p>
        </w:tc>
        <w:tc>
          <w:tcPr>
            <w:tcW w:w="1250" w:type="dxa"/>
            <w:tcMar>
              <w:top w:w="100" w:type="dxa"/>
              <w:left w:w="100" w:type="dxa"/>
              <w:bottom w:w="100" w:type="dxa"/>
              <w:right w:w="100" w:type="dxa"/>
            </w:tcMar>
            <w:vAlign w:val="center"/>
          </w:tcPr>
          <w:p w14:paraId="7CB80A2C">
            <w:pPr>
              <w:pStyle w:val="171"/>
              <w:jc w:val="left"/>
            </w:pPr>
            <w:r>
              <w:rPr>
                <w:rFonts w:ascii="Times New Roman" w:hAnsi="Times New Roman" w:eastAsia="Songti SC" w:cs="Times New Roman"/>
                <w:b w:val="0"/>
                <w:sz w:val="17"/>
              </w:rPr>
              <w:t>卷积表示与图像分类</w:t>
            </w:r>
          </w:p>
        </w:tc>
        <w:tc>
          <w:tcPr>
            <w:tcW w:w="1750" w:type="dxa"/>
            <w:tcMar>
              <w:top w:w="100" w:type="dxa"/>
              <w:left w:w="100" w:type="dxa"/>
              <w:bottom w:w="100" w:type="dxa"/>
              <w:right w:w="100" w:type="dxa"/>
            </w:tcMar>
            <w:vAlign w:val="center"/>
          </w:tcPr>
          <w:p w14:paraId="0B138BBD">
            <w:pPr>
              <w:pStyle w:val="171"/>
              <w:jc w:val="left"/>
            </w:pPr>
            <w:r>
              <w:rPr>
                <w:rFonts w:ascii="Times New Roman" w:hAnsi="Times New Roman" w:eastAsia="Songti SC" w:cs="Times New Roman"/>
                <w:b w:val="0"/>
                <w:sz w:val="17"/>
              </w:rPr>
              <w:t>掌握 CNN 的基本运算、结构先验和图像分类训练流程。</w:t>
            </w:r>
          </w:p>
        </w:tc>
        <w:tc>
          <w:tcPr>
            <w:tcW w:w="2200" w:type="dxa"/>
            <w:tcMar>
              <w:top w:w="100" w:type="dxa"/>
              <w:left w:w="100" w:type="dxa"/>
              <w:bottom w:w="100" w:type="dxa"/>
              <w:right w:w="100" w:type="dxa"/>
            </w:tcMar>
            <w:vAlign w:val="center"/>
          </w:tcPr>
          <w:p w14:paraId="1C5838F5">
            <w:pPr>
              <w:pStyle w:val="171"/>
              <w:jc w:val="left"/>
            </w:pPr>
            <w:r>
              <w:rPr>
                <w:rFonts w:ascii="Times New Roman" w:hAnsi="Times New Roman" w:eastAsia="Songti SC" w:cs="Times New Roman"/>
                <w:b w:val="0"/>
                <w:sz w:val="17"/>
              </w:rPr>
              <w:t>通过手算尺寸、单元测试、逐层形状打印、基线与消融验证网络设计。</w:t>
            </w:r>
          </w:p>
        </w:tc>
        <w:tc>
          <w:tcPr>
            <w:tcW w:w="2250" w:type="dxa"/>
            <w:tcMar>
              <w:top w:w="100" w:type="dxa"/>
              <w:left w:w="100" w:type="dxa"/>
              <w:bottom w:w="100" w:type="dxa"/>
              <w:right w:w="100" w:type="dxa"/>
            </w:tcMar>
            <w:vAlign w:val="center"/>
          </w:tcPr>
          <w:p w14:paraId="239BAB38">
            <w:pPr>
              <w:pStyle w:val="171"/>
              <w:keepNext w:val="0"/>
              <w:keepLines w:val="0"/>
              <w:jc w:val="left"/>
            </w:pPr>
            <w:r>
              <w:rPr>
                <w:rFonts w:ascii="Times New Roman" w:hAnsi="Times New Roman" w:eastAsia="Songti SC" w:cs="Times New Roman"/>
                <w:b w:val="0"/>
                <w:sz w:val="17"/>
              </w:rPr>
              <w:t>形成利用任务结构降低复杂度、关注资源效率并审慎解释特征的意识。</w:t>
            </w:r>
          </w:p>
        </w:tc>
      </w:tr>
      <w:tr w14:paraId="510FBD78">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056386E9">
            <w:pPr>
              <w:pStyle w:val="171"/>
              <w:jc w:val="left"/>
            </w:pPr>
            <w:r>
              <w:rPr>
                <w:rFonts w:ascii="Times New Roman" w:hAnsi="Times New Roman" w:eastAsia="Songti SC" w:cs="Times New Roman"/>
                <w:b w:val="0"/>
                <w:sz w:val="17"/>
              </w:rPr>
              <w:t>M5</w:t>
            </w:r>
            <w:r>
              <w:br w:type="textWrapping"/>
            </w:r>
            <w:r>
              <w:rPr>
                <w:rFonts w:ascii="Times New Roman" w:hAnsi="Times New Roman" w:eastAsia="Songti SC" w:cs="Times New Roman"/>
                <w:b w:val="0"/>
                <w:sz w:val="17"/>
              </w:rPr>
              <w:t>循环神经网络与序列建模</w:t>
            </w:r>
          </w:p>
        </w:tc>
        <w:tc>
          <w:tcPr>
            <w:tcW w:w="1250" w:type="dxa"/>
            <w:tcMar>
              <w:top w:w="100" w:type="dxa"/>
              <w:left w:w="100" w:type="dxa"/>
              <w:bottom w:w="100" w:type="dxa"/>
              <w:right w:w="100" w:type="dxa"/>
            </w:tcMar>
            <w:vAlign w:val="center"/>
          </w:tcPr>
          <w:p w14:paraId="0E8C4BB7">
            <w:pPr>
              <w:pStyle w:val="171"/>
              <w:jc w:val="left"/>
            </w:pPr>
            <w:r>
              <w:rPr>
                <w:rFonts w:ascii="Times New Roman" w:hAnsi="Times New Roman" w:eastAsia="Songti SC" w:cs="Times New Roman"/>
                <w:b w:val="0"/>
                <w:sz w:val="17"/>
              </w:rPr>
              <w:t>序列数据与循环建模</w:t>
            </w:r>
          </w:p>
        </w:tc>
        <w:tc>
          <w:tcPr>
            <w:tcW w:w="1750" w:type="dxa"/>
            <w:tcMar>
              <w:top w:w="100" w:type="dxa"/>
              <w:left w:w="100" w:type="dxa"/>
              <w:bottom w:w="100" w:type="dxa"/>
              <w:right w:w="100" w:type="dxa"/>
            </w:tcMar>
            <w:vAlign w:val="center"/>
          </w:tcPr>
          <w:p w14:paraId="3112F6F4">
            <w:pPr>
              <w:pStyle w:val="171"/>
              <w:jc w:val="left"/>
            </w:pPr>
            <w:r>
              <w:rPr>
                <w:rFonts w:ascii="Times New Roman" w:hAnsi="Times New Roman" w:eastAsia="Songti SC" w:cs="Times New Roman"/>
                <w:b w:val="0"/>
                <w:sz w:val="17"/>
              </w:rPr>
              <w:t>掌握序列依赖、RNN 状态递推和语言模型训练评价。</w:t>
            </w:r>
          </w:p>
        </w:tc>
        <w:tc>
          <w:tcPr>
            <w:tcW w:w="2200" w:type="dxa"/>
            <w:tcMar>
              <w:top w:w="100" w:type="dxa"/>
              <w:left w:w="100" w:type="dxa"/>
              <w:bottom w:w="100" w:type="dxa"/>
              <w:right w:w="100" w:type="dxa"/>
            </w:tcMar>
            <w:vAlign w:val="center"/>
          </w:tcPr>
          <w:p w14:paraId="5ADAAEFA">
            <w:pPr>
              <w:pStyle w:val="171"/>
              <w:jc w:val="left"/>
            </w:pPr>
            <w:r>
              <w:rPr>
                <w:rFonts w:ascii="Times New Roman" w:hAnsi="Times New Roman" w:eastAsia="Songti SC" w:cs="Times New Roman"/>
                <w:b w:val="0"/>
                <w:sz w:val="17"/>
              </w:rPr>
              <w:t>遵循时间顺序划分、状态管理、梯度监控和多跨度评价方法。</w:t>
            </w:r>
          </w:p>
        </w:tc>
        <w:tc>
          <w:tcPr>
            <w:tcW w:w="2250" w:type="dxa"/>
            <w:tcMar>
              <w:top w:w="100" w:type="dxa"/>
              <w:left w:w="100" w:type="dxa"/>
              <w:bottom w:w="100" w:type="dxa"/>
              <w:right w:w="100" w:type="dxa"/>
            </w:tcMar>
            <w:vAlign w:val="center"/>
          </w:tcPr>
          <w:p w14:paraId="1465DB71">
            <w:pPr>
              <w:pStyle w:val="171"/>
              <w:keepNext w:val="0"/>
              <w:keepLines w:val="0"/>
              <w:jc w:val="left"/>
            </w:pPr>
            <w:r>
              <w:rPr>
                <w:rFonts w:ascii="Times New Roman" w:hAnsi="Times New Roman" w:eastAsia="Songti SC" w:cs="Times New Roman"/>
                <w:b w:val="0"/>
                <w:sz w:val="17"/>
              </w:rPr>
              <w:t>尊重因果顺序，防止未来信息泄漏，对生成文本和长期预测保持审慎。</w:t>
            </w:r>
          </w:p>
        </w:tc>
      </w:tr>
      <w:tr w14:paraId="26A7737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23D806F4">
            <w:pPr>
              <w:pStyle w:val="171"/>
              <w:jc w:val="left"/>
            </w:pPr>
            <w:r>
              <w:rPr>
                <w:rFonts w:ascii="Times New Roman" w:hAnsi="Times New Roman" w:eastAsia="Songti SC" w:cs="Times New Roman"/>
                <w:b w:val="0"/>
                <w:sz w:val="17"/>
              </w:rPr>
              <w:t>M6</w:t>
            </w:r>
            <w:r>
              <w:br w:type="textWrapping"/>
            </w:r>
            <w:r>
              <w:rPr>
                <w:rFonts w:ascii="Times New Roman" w:hAnsi="Times New Roman" w:eastAsia="Songti SC" w:cs="Times New Roman"/>
                <w:b w:val="0"/>
                <w:sz w:val="17"/>
              </w:rPr>
              <w:t>图像增广、迁移学习与微调</w:t>
            </w:r>
          </w:p>
        </w:tc>
        <w:tc>
          <w:tcPr>
            <w:tcW w:w="1250" w:type="dxa"/>
            <w:tcMar>
              <w:top w:w="100" w:type="dxa"/>
              <w:left w:w="100" w:type="dxa"/>
              <w:bottom w:w="100" w:type="dxa"/>
              <w:right w:w="100" w:type="dxa"/>
            </w:tcMar>
            <w:vAlign w:val="center"/>
          </w:tcPr>
          <w:p w14:paraId="47EB83C2">
            <w:pPr>
              <w:pStyle w:val="171"/>
              <w:jc w:val="left"/>
            </w:pPr>
            <w:r>
              <w:rPr>
                <w:rFonts w:ascii="Times New Roman" w:hAnsi="Times New Roman" w:eastAsia="Songti SC" w:cs="Times New Roman"/>
                <w:b w:val="0"/>
                <w:sz w:val="17"/>
              </w:rPr>
              <w:t>计算机视觉应用（一）</w:t>
            </w:r>
          </w:p>
        </w:tc>
        <w:tc>
          <w:tcPr>
            <w:tcW w:w="1750" w:type="dxa"/>
            <w:tcMar>
              <w:top w:w="100" w:type="dxa"/>
              <w:left w:w="100" w:type="dxa"/>
              <w:bottom w:w="100" w:type="dxa"/>
              <w:right w:w="100" w:type="dxa"/>
            </w:tcMar>
            <w:vAlign w:val="center"/>
          </w:tcPr>
          <w:p w14:paraId="0A5905F7">
            <w:pPr>
              <w:pStyle w:val="171"/>
              <w:jc w:val="left"/>
            </w:pPr>
            <w:r>
              <w:rPr>
                <w:rFonts w:ascii="Times New Roman" w:hAnsi="Times New Roman" w:eastAsia="Songti SC" w:cs="Times New Roman"/>
                <w:b w:val="0"/>
                <w:sz w:val="17"/>
              </w:rPr>
              <w:t>掌握图像增广和迁移学习的基础应用方法，能解释预训练模型为何能够在有限样本任务上复用视觉表征。</w:t>
            </w:r>
          </w:p>
        </w:tc>
        <w:tc>
          <w:tcPr>
            <w:tcW w:w="2200" w:type="dxa"/>
            <w:tcMar>
              <w:top w:w="100" w:type="dxa"/>
              <w:left w:w="100" w:type="dxa"/>
              <w:bottom w:w="100" w:type="dxa"/>
              <w:right w:w="100" w:type="dxa"/>
            </w:tcMar>
            <w:vAlign w:val="center"/>
          </w:tcPr>
          <w:p w14:paraId="116745AA">
            <w:pPr>
              <w:pStyle w:val="171"/>
              <w:jc w:val="left"/>
            </w:pPr>
            <w:r>
              <w:rPr>
                <w:rFonts w:ascii="Times New Roman" w:hAnsi="Times New Roman" w:eastAsia="Songti SC" w:cs="Times New Roman"/>
                <w:b w:val="0"/>
                <w:sz w:val="17"/>
              </w:rPr>
              <w:t>按照数据审计、基线建立、增广设计、微调配置、受控对照和误差分析组织实验。</w:t>
            </w:r>
          </w:p>
        </w:tc>
        <w:tc>
          <w:tcPr>
            <w:tcW w:w="2250" w:type="dxa"/>
            <w:tcMar>
              <w:top w:w="100" w:type="dxa"/>
              <w:left w:w="100" w:type="dxa"/>
              <w:bottom w:w="100" w:type="dxa"/>
              <w:right w:w="100" w:type="dxa"/>
            </w:tcMar>
            <w:vAlign w:val="center"/>
          </w:tcPr>
          <w:p w14:paraId="714035AE">
            <w:pPr>
              <w:pStyle w:val="171"/>
              <w:keepNext w:val="0"/>
              <w:keepLines w:val="0"/>
              <w:jc w:val="left"/>
            </w:pPr>
            <w:r>
              <w:rPr>
                <w:rFonts w:ascii="Times New Roman" w:hAnsi="Times New Roman" w:eastAsia="Songti SC" w:cs="Times New Roman"/>
                <w:b w:val="0"/>
                <w:sz w:val="17"/>
              </w:rPr>
              <w:t>遵守图像授权、隐私和标注规范，诚实报告预训练数据未知性、偏差和适用边界。</w:t>
            </w:r>
          </w:p>
        </w:tc>
      </w:tr>
      <w:tr w14:paraId="3D2355E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5E2AF19E">
            <w:pPr>
              <w:pStyle w:val="171"/>
              <w:jc w:val="left"/>
            </w:pPr>
            <w:r>
              <w:rPr>
                <w:rFonts w:ascii="Times New Roman" w:hAnsi="Times New Roman" w:eastAsia="Songti SC" w:cs="Times New Roman"/>
                <w:b w:val="0"/>
                <w:sz w:val="17"/>
              </w:rPr>
              <w:t>M7</w:t>
            </w:r>
            <w:r>
              <w:br w:type="textWrapping"/>
            </w:r>
            <w:r>
              <w:rPr>
                <w:rFonts w:ascii="Times New Roman" w:hAnsi="Times New Roman" w:eastAsia="Songti SC" w:cs="Times New Roman"/>
                <w:b w:val="0"/>
                <w:sz w:val="17"/>
              </w:rPr>
              <w:t>目标检测与语义分割基础应用</w:t>
            </w:r>
          </w:p>
        </w:tc>
        <w:tc>
          <w:tcPr>
            <w:tcW w:w="1250" w:type="dxa"/>
            <w:tcMar>
              <w:top w:w="100" w:type="dxa"/>
              <w:left w:w="100" w:type="dxa"/>
              <w:bottom w:w="100" w:type="dxa"/>
              <w:right w:w="100" w:type="dxa"/>
            </w:tcMar>
            <w:vAlign w:val="center"/>
          </w:tcPr>
          <w:p w14:paraId="1E0B38E4">
            <w:pPr>
              <w:pStyle w:val="171"/>
              <w:jc w:val="left"/>
            </w:pPr>
            <w:r>
              <w:rPr>
                <w:rFonts w:ascii="Times New Roman" w:hAnsi="Times New Roman" w:eastAsia="Songti SC" w:cs="Times New Roman"/>
                <w:b w:val="0"/>
                <w:sz w:val="17"/>
              </w:rPr>
              <w:t>计算机视觉应用（二）</w:t>
            </w:r>
          </w:p>
        </w:tc>
        <w:tc>
          <w:tcPr>
            <w:tcW w:w="1750" w:type="dxa"/>
            <w:tcMar>
              <w:top w:w="100" w:type="dxa"/>
              <w:left w:w="100" w:type="dxa"/>
              <w:bottom w:w="100" w:type="dxa"/>
              <w:right w:w="100" w:type="dxa"/>
            </w:tcMar>
            <w:vAlign w:val="center"/>
          </w:tcPr>
          <w:p w14:paraId="4CEEC8FF">
            <w:pPr>
              <w:pStyle w:val="171"/>
              <w:jc w:val="left"/>
            </w:pPr>
            <w:r>
              <w:rPr>
                <w:rFonts w:ascii="Times New Roman" w:hAnsi="Times New Roman" w:eastAsia="Songti SC" w:cs="Times New Roman"/>
                <w:b w:val="0"/>
                <w:sz w:val="17"/>
              </w:rPr>
              <w:t>掌握目标检测与语义分割的基本任务定义、数据表示、核心操作和基础评价方法。</w:t>
            </w:r>
          </w:p>
        </w:tc>
        <w:tc>
          <w:tcPr>
            <w:tcW w:w="2200" w:type="dxa"/>
            <w:tcMar>
              <w:top w:w="100" w:type="dxa"/>
              <w:left w:w="100" w:type="dxa"/>
              <w:bottom w:w="100" w:type="dxa"/>
              <w:right w:w="100" w:type="dxa"/>
            </w:tcMar>
            <w:vAlign w:val="center"/>
          </w:tcPr>
          <w:p w14:paraId="00AADBD7">
            <w:pPr>
              <w:pStyle w:val="171"/>
              <w:jc w:val="left"/>
            </w:pPr>
            <w:r>
              <w:rPr>
                <w:rFonts w:ascii="Times New Roman" w:hAnsi="Times New Roman" w:eastAsia="Songti SC" w:cs="Times New Roman"/>
                <w:b w:val="0"/>
                <w:sz w:val="17"/>
              </w:rPr>
              <w:t>通过标注可视化、几何单元测试、最小数据集、基线模型和错误类型分析验证视觉流水线。</w:t>
            </w:r>
          </w:p>
        </w:tc>
        <w:tc>
          <w:tcPr>
            <w:tcW w:w="2250" w:type="dxa"/>
            <w:tcMar>
              <w:top w:w="100" w:type="dxa"/>
              <w:left w:w="100" w:type="dxa"/>
              <w:bottom w:w="100" w:type="dxa"/>
              <w:right w:w="100" w:type="dxa"/>
            </w:tcMar>
            <w:vAlign w:val="center"/>
          </w:tcPr>
          <w:p w14:paraId="668C572B">
            <w:pPr>
              <w:pStyle w:val="171"/>
              <w:keepNext w:val="0"/>
              <w:keepLines w:val="0"/>
              <w:jc w:val="left"/>
            </w:pPr>
            <w:r>
              <w:rPr>
                <w:rFonts w:ascii="Times New Roman" w:hAnsi="Times New Roman" w:eastAsia="Songti SC" w:cs="Times New Roman"/>
                <w:b w:val="0"/>
                <w:sz w:val="17"/>
              </w:rPr>
              <w:t>重视标注质量、隐私保护、漏检代价和类别偏差，避免用单一总体指标掩盖关键失败。</w:t>
            </w:r>
          </w:p>
        </w:tc>
      </w:tr>
      <w:tr w14:paraId="6065E85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2A59FB1E">
            <w:pPr>
              <w:pStyle w:val="171"/>
              <w:jc w:val="left"/>
            </w:pPr>
            <w:r>
              <w:rPr>
                <w:rFonts w:ascii="Times New Roman" w:hAnsi="Times New Roman" w:eastAsia="Songti SC" w:cs="Times New Roman"/>
                <w:b w:val="0"/>
                <w:sz w:val="17"/>
              </w:rPr>
              <w:t>M8</w:t>
            </w:r>
            <w:r>
              <w:br w:type="textWrapping"/>
            </w:r>
            <w:r>
              <w:rPr>
                <w:rFonts w:ascii="Times New Roman" w:hAnsi="Times New Roman" w:eastAsia="Songti SC" w:cs="Times New Roman"/>
                <w:b w:val="0"/>
                <w:sz w:val="17"/>
              </w:rPr>
              <w:t>词嵌入与预训练词向量应用</w:t>
            </w:r>
          </w:p>
        </w:tc>
        <w:tc>
          <w:tcPr>
            <w:tcW w:w="1250" w:type="dxa"/>
            <w:tcMar>
              <w:top w:w="100" w:type="dxa"/>
              <w:left w:w="100" w:type="dxa"/>
              <w:bottom w:w="100" w:type="dxa"/>
              <w:right w:w="100" w:type="dxa"/>
            </w:tcMar>
            <w:vAlign w:val="center"/>
          </w:tcPr>
          <w:p w14:paraId="5E14B928">
            <w:pPr>
              <w:pStyle w:val="171"/>
              <w:jc w:val="left"/>
            </w:pPr>
            <w:r>
              <w:rPr>
                <w:rFonts w:ascii="Times New Roman" w:hAnsi="Times New Roman" w:eastAsia="Songti SC" w:cs="Times New Roman"/>
                <w:b w:val="0"/>
                <w:sz w:val="17"/>
              </w:rPr>
              <w:t>文本预训练表示（一）</w:t>
            </w:r>
          </w:p>
        </w:tc>
        <w:tc>
          <w:tcPr>
            <w:tcW w:w="1750" w:type="dxa"/>
            <w:tcMar>
              <w:top w:w="100" w:type="dxa"/>
              <w:left w:w="100" w:type="dxa"/>
              <w:bottom w:w="100" w:type="dxa"/>
              <w:right w:w="100" w:type="dxa"/>
            </w:tcMar>
            <w:vAlign w:val="center"/>
          </w:tcPr>
          <w:p w14:paraId="322B0F84">
            <w:pPr>
              <w:pStyle w:val="171"/>
              <w:jc w:val="left"/>
            </w:pPr>
            <w:r>
              <w:rPr>
                <w:rFonts w:ascii="Times New Roman" w:hAnsi="Times New Roman" w:eastAsia="Songti SC" w:cs="Times New Roman"/>
                <w:b w:val="0"/>
                <w:sz w:val="17"/>
              </w:rPr>
              <w:t>掌握词嵌入和预训练词向量的基础原理，能说明语义相近为何可表现为空间距离。</w:t>
            </w:r>
          </w:p>
        </w:tc>
        <w:tc>
          <w:tcPr>
            <w:tcW w:w="2200" w:type="dxa"/>
            <w:tcMar>
              <w:top w:w="100" w:type="dxa"/>
              <w:left w:w="100" w:type="dxa"/>
              <w:bottom w:w="100" w:type="dxa"/>
              <w:right w:w="100" w:type="dxa"/>
            </w:tcMar>
            <w:vAlign w:val="center"/>
          </w:tcPr>
          <w:p w14:paraId="16E42CD5">
            <w:pPr>
              <w:pStyle w:val="171"/>
              <w:jc w:val="left"/>
            </w:pPr>
            <w:r>
              <w:rPr>
                <w:rFonts w:ascii="Times New Roman" w:hAnsi="Times New Roman" w:eastAsia="Songti SC" w:cs="Times New Roman"/>
                <w:b w:val="0"/>
                <w:sz w:val="17"/>
              </w:rPr>
              <w:t>通过语料统计、样本可视化、形状测试、内在评测和失败案例分析检查表示质量。</w:t>
            </w:r>
          </w:p>
        </w:tc>
        <w:tc>
          <w:tcPr>
            <w:tcW w:w="2250" w:type="dxa"/>
            <w:tcMar>
              <w:top w:w="100" w:type="dxa"/>
              <w:left w:w="100" w:type="dxa"/>
              <w:bottom w:w="100" w:type="dxa"/>
              <w:right w:w="100" w:type="dxa"/>
            </w:tcMar>
            <w:vAlign w:val="center"/>
          </w:tcPr>
          <w:p w14:paraId="5CB5AF44">
            <w:pPr>
              <w:pStyle w:val="171"/>
              <w:keepNext w:val="0"/>
              <w:keepLines w:val="0"/>
              <w:jc w:val="left"/>
            </w:pPr>
            <w:r>
              <w:rPr>
                <w:rFonts w:ascii="Times New Roman" w:hAnsi="Times New Roman" w:eastAsia="Songti SC" w:cs="Times New Roman"/>
                <w:b w:val="0"/>
                <w:sz w:val="17"/>
              </w:rPr>
              <w:t>尊重语料版权和个人信息，识别预训练词向量中的刻板偏见、覆盖差异和评价局限。</w:t>
            </w:r>
          </w:p>
        </w:tc>
      </w:tr>
      <w:tr w14:paraId="0D27C7F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2E321018">
            <w:pPr>
              <w:pStyle w:val="171"/>
              <w:jc w:val="left"/>
            </w:pPr>
            <w:r>
              <w:rPr>
                <w:rFonts w:ascii="Times New Roman" w:hAnsi="Times New Roman" w:eastAsia="Songti SC" w:cs="Times New Roman"/>
                <w:b w:val="0"/>
                <w:sz w:val="17"/>
              </w:rPr>
              <w:t>M9</w:t>
            </w:r>
            <w:r>
              <w:br w:type="textWrapping"/>
            </w:r>
            <w:r>
              <w:rPr>
                <w:rFonts w:ascii="Times New Roman" w:hAnsi="Times New Roman" w:eastAsia="Songti SC" w:cs="Times New Roman"/>
                <w:b w:val="0"/>
                <w:sz w:val="17"/>
              </w:rPr>
              <w:t>BERT预训练与上下文表示基础</w:t>
            </w:r>
          </w:p>
        </w:tc>
        <w:tc>
          <w:tcPr>
            <w:tcW w:w="1250" w:type="dxa"/>
            <w:tcMar>
              <w:top w:w="100" w:type="dxa"/>
              <w:left w:w="100" w:type="dxa"/>
              <w:bottom w:w="100" w:type="dxa"/>
              <w:right w:w="100" w:type="dxa"/>
            </w:tcMar>
            <w:vAlign w:val="center"/>
          </w:tcPr>
          <w:p w14:paraId="1241E861">
            <w:pPr>
              <w:pStyle w:val="171"/>
              <w:jc w:val="left"/>
            </w:pPr>
            <w:r>
              <w:rPr>
                <w:rFonts w:ascii="Times New Roman" w:hAnsi="Times New Roman" w:eastAsia="Songti SC" w:cs="Times New Roman"/>
                <w:b w:val="0"/>
                <w:sz w:val="17"/>
              </w:rPr>
              <w:t>文本预训练表示（二）</w:t>
            </w:r>
          </w:p>
        </w:tc>
        <w:tc>
          <w:tcPr>
            <w:tcW w:w="1750" w:type="dxa"/>
            <w:tcMar>
              <w:top w:w="100" w:type="dxa"/>
              <w:left w:w="100" w:type="dxa"/>
              <w:bottom w:w="100" w:type="dxa"/>
              <w:right w:w="100" w:type="dxa"/>
            </w:tcMar>
            <w:vAlign w:val="center"/>
          </w:tcPr>
          <w:p w14:paraId="2F96A419">
            <w:pPr>
              <w:pStyle w:val="171"/>
              <w:jc w:val="left"/>
            </w:pPr>
            <w:r>
              <w:rPr>
                <w:rFonts w:ascii="Times New Roman" w:hAnsi="Times New Roman" w:eastAsia="Songti SC" w:cs="Times New Roman"/>
                <w:b w:val="0"/>
                <w:sz w:val="17"/>
              </w:rPr>
              <w:t>掌握BERT预训练任务与上下文表示的基础应用，理解同一词元在不同语境中可产生不同向量。</w:t>
            </w:r>
          </w:p>
        </w:tc>
        <w:tc>
          <w:tcPr>
            <w:tcW w:w="2200" w:type="dxa"/>
            <w:tcMar>
              <w:top w:w="100" w:type="dxa"/>
              <w:left w:w="100" w:type="dxa"/>
              <w:bottom w:w="100" w:type="dxa"/>
              <w:right w:w="100" w:type="dxa"/>
            </w:tcMar>
            <w:vAlign w:val="center"/>
          </w:tcPr>
          <w:p w14:paraId="75E2349A">
            <w:pPr>
              <w:pStyle w:val="171"/>
              <w:jc w:val="left"/>
            </w:pPr>
            <w:r>
              <w:rPr>
                <w:rFonts w:ascii="Times New Roman" w:hAnsi="Times New Roman" w:eastAsia="Songti SC" w:cs="Times New Roman"/>
                <w:b w:val="0"/>
                <w:sz w:val="17"/>
              </w:rPr>
              <w:t>通过最小输入、词元对齐、掩蔽标签、有效长度、固定检查点和表示可视化逐层验证。</w:t>
            </w:r>
          </w:p>
        </w:tc>
        <w:tc>
          <w:tcPr>
            <w:tcW w:w="2250" w:type="dxa"/>
            <w:tcMar>
              <w:top w:w="100" w:type="dxa"/>
              <w:left w:w="100" w:type="dxa"/>
              <w:bottom w:w="100" w:type="dxa"/>
              <w:right w:w="100" w:type="dxa"/>
            </w:tcMar>
            <w:vAlign w:val="center"/>
          </w:tcPr>
          <w:p w14:paraId="7C5645C9">
            <w:pPr>
              <w:pStyle w:val="171"/>
              <w:keepNext w:val="0"/>
              <w:keepLines w:val="0"/>
              <w:jc w:val="left"/>
            </w:pPr>
            <w:r>
              <w:rPr>
                <w:rFonts w:ascii="Times New Roman" w:hAnsi="Times New Roman" w:eastAsia="Songti SC" w:cs="Times New Roman"/>
                <w:b w:val="0"/>
                <w:sz w:val="17"/>
              </w:rPr>
              <w:t>审慎使用预训练模型，说明语料、偏见、版权、隐私、算力与输出不确定性，不把表示相似度当作事实判断。</w:t>
            </w:r>
          </w:p>
        </w:tc>
      </w:tr>
    </w:tbl>
    <w:p w14:paraId="30C22CD4">
      <w:pPr>
        <w:pStyle w:val="164"/>
      </w:pPr>
    </w:p>
    <w:p w14:paraId="243E8281">
      <w:pPr>
        <w:pStyle w:val="166"/>
      </w:pPr>
      <w:r>
        <w:t>三、课程结构与内容要求</w:t>
      </w:r>
    </w:p>
    <w:p w14:paraId="0D215F44">
      <w:pPr>
        <w:pStyle w:val="164"/>
      </w:pPr>
      <w:r>
        <w:t>课程以专业培养目标和岗位能力为内容边界，按能力任务组织为九个校本模块。模块学时严格按</w:t>
      </w:r>
      <w:r>
        <w:rPr>
          <w:rFonts w:hint="eastAsia"/>
          <w:lang w:val="en-US" w:eastAsia="zh-CN"/>
        </w:rPr>
        <w:t>18</w:t>
      </w:r>
      <w:r>
        <w:t>＋</w:t>
      </w:r>
      <w:r>
        <w:rPr>
          <w:rFonts w:hint="eastAsia"/>
          <w:lang w:val="en-US" w:eastAsia="zh-CN"/>
        </w:rPr>
        <w:t>20</w:t>
      </w:r>
      <w:r>
        <w:t>＋</w:t>
      </w:r>
      <w:r>
        <w:rPr>
          <w:rFonts w:hint="eastAsia"/>
          <w:lang w:val="en-US" w:eastAsia="zh-CN"/>
        </w:rPr>
        <w:t>26</w:t>
      </w:r>
      <w:r>
        <w:t>分配：数据、数学与基础学习模块约占</w:t>
      </w:r>
      <w:r>
        <w:rPr>
          <w:rFonts w:hint="eastAsia"/>
          <w:lang w:val="en-US" w:eastAsia="zh-CN"/>
        </w:rPr>
        <w:t>1</w:t>
      </w:r>
      <w:r>
        <w:t>/6，卷积与序列核心模型模块约占</w:t>
      </w:r>
      <w:r>
        <w:rPr>
          <w:rFonts w:hint="eastAsia"/>
          <w:lang w:val="en-US" w:eastAsia="zh-CN"/>
        </w:rPr>
        <w:t>2</w:t>
      </w:r>
      <w:r>
        <w:t>/6，计算机视觉和文本预训练表示应用模块占</w:t>
      </w:r>
      <w:r>
        <w:rPr>
          <w:rFonts w:hint="eastAsia"/>
          <w:lang w:val="en-US" w:eastAsia="zh-CN"/>
        </w:rPr>
        <w:t>1/2</w:t>
      </w:r>
      <w:r>
        <w:t>；实践学时占</w:t>
      </w:r>
      <w:r>
        <w:rPr>
          <w:rFonts w:hint="eastAsia"/>
          <w:lang w:val="en-US" w:eastAsia="zh-CN"/>
        </w:rPr>
        <w:t>50</w:t>
      </w:r>
      <w:r>
        <w:t>%。表15给出结构、任务和学时，表后进一步说明各模块的教学范围、实践流程、重点难点、质量标准与职业素养要求。标注为关键的知识和技能必须进入直接评价，其他拓展内容根据学生基础和设备条件实施。</w:t>
      </w:r>
    </w:p>
    <w:p w14:paraId="5450635B">
      <w:pPr>
        <w:pStyle w:val="170"/>
      </w:pPr>
      <w:r>
        <w:t>表15  课程结构与内容要求</w:t>
      </w:r>
    </w:p>
    <w:tbl>
      <w:tblPr>
        <w:tblStyle w:val="32"/>
        <w:tblW w:w="8300"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80"/>
        <w:gridCol w:w="1820"/>
        <w:gridCol w:w="1100"/>
        <w:gridCol w:w="1150"/>
        <w:gridCol w:w="2030"/>
        <w:gridCol w:w="620"/>
        <w:gridCol w:w="600"/>
      </w:tblGrid>
      <w:tr w14:paraId="1540631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980" w:type="dxa"/>
            <w:vMerge w:val="restart"/>
            <w:tcBorders>
              <w:tl2br w:val="nil"/>
              <w:tr2bl w:val="nil"/>
            </w:tcBorders>
            <w:shd w:val="clear" w:color="auto" w:fill="E7E6E6"/>
            <w:tcMar>
              <w:top w:w="100" w:type="dxa"/>
              <w:left w:w="100" w:type="dxa"/>
              <w:bottom w:w="100" w:type="dxa"/>
              <w:right w:w="100" w:type="dxa"/>
            </w:tcMar>
            <w:vAlign w:val="center"/>
          </w:tcPr>
          <w:p w14:paraId="2B0087FB">
            <w:pPr>
              <w:pStyle w:val="171"/>
              <w:keepNext w:val="0"/>
              <w:keepLines w:val="0"/>
              <w:topLinePunct/>
              <w:snapToGrid w:val="0"/>
              <w:spacing w:after="40" w:line="240" w:lineRule="atLeast"/>
              <w:jc w:val="center"/>
              <w:rPr>
                <w:rFonts w:ascii="Times New Roman" w:hAnsi="Times New Roman" w:eastAsia="宋体" w:cs="Times New Roman"/>
                <w:bCs/>
                <w:kern w:val="2"/>
                <w:sz w:val="15"/>
                <w:szCs w:val="28"/>
                <w:lang w:val="en-US" w:eastAsia="zh-CN" w:bidi="ar-SA"/>
              </w:rPr>
            </w:pPr>
            <w:r>
              <w:rPr>
                <w:rFonts w:hint="eastAsia" w:ascii="Arial" w:hAnsi="Arial" w:eastAsia="Heiti SC" w:cs="Arial"/>
                <w:b/>
                <w:bCs/>
                <w:kern w:val="2"/>
                <w:sz w:val="17"/>
                <w:szCs w:val="28"/>
                <w:lang w:val="en-US" w:eastAsia="zh-CN" w:bidi="ar-SA"/>
              </w:rPr>
              <w:t>课程模块</w:t>
            </w:r>
          </w:p>
        </w:tc>
        <w:tc>
          <w:tcPr>
            <w:tcW w:w="1820" w:type="dxa"/>
            <w:vMerge w:val="restart"/>
            <w:tcBorders>
              <w:tl2br w:val="nil"/>
              <w:tr2bl w:val="nil"/>
            </w:tcBorders>
            <w:shd w:val="clear" w:color="auto" w:fill="E7E6E6"/>
            <w:tcMar>
              <w:top w:w="100" w:type="dxa"/>
              <w:left w:w="100" w:type="dxa"/>
              <w:bottom w:w="100" w:type="dxa"/>
              <w:right w:w="100" w:type="dxa"/>
            </w:tcMar>
            <w:vAlign w:val="center"/>
          </w:tcPr>
          <w:p w14:paraId="4E6D6D91">
            <w:pPr>
              <w:pStyle w:val="171"/>
              <w:keepNext w:val="0"/>
              <w:keepLines w:val="0"/>
              <w:topLinePunct/>
              <w:snapToGrid w:val="0"/>
              <w:spacing w:after="40" w:line="240" w:lineRule="atLeast"/>
              <w:jc w:val="center"/>
              <w:rPr>
                <w:rFonts w:ascii="Times New Roman" w:hAnsi="Times New Roman" w:eastAsia="宋体" w:cs="Times New Roman"/>
                <w:bCs/>
                <w:kern w:val="2"/>
                <w:sz w:val="15"/>
                <w:szCs w:val="28"/>
                <w:lang w:val="en-US" w:eastAsia="zh-CN" w:bidi="ar-SA"/>
              </w:rPr>
            </w:pPr>
            <w:r>
              <w:rPr>
                <w:rFonts w:hint="eastAsia" w:ascii="Arial" w:hAnsi="Arial" w:eastAsia="Heiti SC" w:cs="Arial"/>
                <w:b/>
                <w:bCs/>
                <w:kern w:val="2"/>
                <w:sz w:val="17"/>
                <w:szCs w:val="28"/>
                <w:lang w:val="en-US" w:eastAsia="zh-CN" w:bidi="ar-SA"/>
              </w:rPr>
              <w:t>专题/任务</w:t>
            </w:r>
          </w:p>
        </w:tc>
        <w:tc>
          <w:tcPr>
            <w:tcW w:w="1100" w:type="dxa"/>
            <w:vMerge w:val="restart"/>
            <w:tcBorders>
              <w:tl2br w:val="nil"/>
              <w:tr2bl w:val="nil"/>
            </w:tcBorders>
            <w:shd w:val="clear" w:color="auto" w:fill="E7E6E6"/>
            <w:tcMar>
              <w:top w:w="100" w:type="dxa"/>
              <w:left w:w="100" w:type="dxa"/>
              <w:bottom w:w="100" w:type="dxa"/>
              <w:right w:w="100" w:type="dxa"/>
            </w:tcMar>
            <w:vAlign w:val="center"/>
          </w:tcPr>
          <w:p w14:paraId="57113528">
            <w:pPr>
              <w:pStyle w:val="171"/>
              <w:keepNext w:val="0"/>
              <w:keepLines w:val="0"/>
              <w:topLinePunct/>
              <w:snapToGrid w:val="0"/>
              <w:spacing w:after="40" w:line="240" w:lineRule="atLeast"/>
              <w:jc w:val="center"/>
              <w:rPr>
                <w:rFonts w:ascii="Times New Roman" w:hAnsi="Times New Roman" w:eastAsia="宋体" w:cs="Times New Roman"/>
                <w:bCs/>
                <w:kern w:val="2"/>
                <w:sz w:val="15"/>
                <w:szCs w:val="28"/>
                <w:lang w:val="en-US" w:eastAsia="zh-CN" w:bidi="ar-SA"/>
              </w:rPr>
            </w:pPr>
            <w:r>
              <w:rPr>
                <w:rFonts w:hint="eastAsia" w:ascii="Arial" w:hAnsi="Arial" w:eastAsia="Heiti SC" w:cs="Arial"/>
                <w:b/>
                <w:bCs/>
                <w:kern w:val="2"/>
                <w:sz w:val="17"/>
                <w:szCs w:val="28"/>
                <w:lang w:val="en-US" w:eastAsia="zh-CN" w:bidi="ar-SA"/>
              </w:rPr>
              <w:t>知识要求</w:t>
            </w:r>
          </w:p>
        </w:tc>
        <w:tc>
          <w:tcPr>
            <w:tcW w:w="1150" w:type="dxa"/>
            <w:vMerge w:val="restart"/>
            <w:tcBorders>
              <w:tl2br w:val="nil"/>
              <w:tr2bl w:val="nil"/>
            </w:tcBorders>
            <w:shd w:val="clear" w:color="auto" w:fill="E7E6E6"/>
            <w:tcMar>
              <w:top w:w="100" w:type="dxa"/>
              <w:left w:w="100" w:type="dxa"/>
              <w:bottom w:w="100" w:type="dxa"/>
              <w:right w:w="100" w:type="dxa"/>
            </w:tcMar>
            <w:vAlign w:val="center"/>
          </w:tcPr>
          <w:p w14:paraId="4A31256F">
            <w:pPr>
              <w:pStyle w:val="171"/>
              <w:keepNext w:val="0"/>
              <w:keepLines w:val="0"/>
              <w:topLinePunct/>
              <w:snapToGrid w:val="0"/>
              <w:spacing w:after="40" w:line="240" w:lineRule="atLeast"/>
              <w:jc w:val="center"/>
              <w:rPr>
                <w:rFonts w:ascii="Times New Roman" w:hAnsi="Times New Roman" w:eastAsia="宋体" w:cs="Times New Roman"/>
                <w:bCs/>
                <w:kern w:val="2"/>
                <w:sz w:val="15"/>
                <w:szCs w:val="28"/>
                <w:lang w:val="en-US" w:eastAsia="zh-CN" w:bidi="ar-SA"/>
              </w:rPr>
            </w:pPr>
            <w:r>
              <w:rPr>
                <w:rFonts w:hint="eastAsia" w:ascii="Arial" w:hAnsi="Arial" w:eastAsia="Heiti SC" w:cs="Arial"/>
                <w:b/>
                <w:bCs/>
                <w:kern w:val="2"/>
                <w:sz w:val="17"/>
                <w:szCs w:val="28"/>
                <w:lang w:val="en-US" w:eastAsia="zh-CN" w:bidi="ar-SA"/>
              </w:rPr>
              <w:t>技能要求</w:t>
            </w:r>
          </w:p>
        </w:tc>
        <w:tc>
          <w:tcPr>
            <w:tcW w:w="2030" w:type="dxa"/>
            <w:vMerge w:val="restart"/>
            <w:tcBorders>
              <w:tl2br w:val="nil"/>
              <w:tr2bl w:val="nil"/>
            </w:tcBorders>
            <w:shd w:val="clear" w:color="auto" w:fill="E7E6E6"/>
            <w:tcMar>
              <w:top w:w="100" w:type="dxa"/>
              <w:left w:w="100" w:type="dxa"/>
              <w:bottom w:w="100" w:type="dxa"/>
              <w:right w:w="100" w:type="dxa"/>
            </w:tcMar>
            <w:vAlign w:val="center"/>
          </w:tcPr>
          <w:p w14:paraId="5A75EE5C">
            <w:pPr>
              <w:pStyle w:val="171"/>
              <w:keepNext w:val="0"/>
              <w:keepLines w:val="0"/>
              <w:topLinePunct/>
              <w:snapToGrid w:val="0"/>
              <w:spacing w:after="40" w:line="240" w:lineRule="atLeast"/>
              <w:jc w:val="center"/>
              <w:rPr>
                <w:rFonts w:ascii="Times New Roman" w:hAnsi="Times New Roman" w:eastAsia="宋体" w:cs="Times New Roman"/>
                <w:bCs/>
                <w:kern w:val="2"/>
                <w:sz w:val="15"/>
                <w:szCs w:val="28"/>
                <w:lang w:val="en-US" w:eastAsia="zh-CN" w:bidi="ar-SA"/>
              </w:rPr>
            </w:pPr>
            <w:r>
              <w:rPr>
                <w:rFonts w:ascii="Arial" w:hAnsi="Arial" w:eastAsia="Heiti SC" w:cs="Arial"/>
                <w:b/>
                <w:bCs/>
                <w:kern w:val="2"/>
                <w:sz w:val="17"/>
                <w:szCs w:val="28"/>
                <w:lang w:val="en-US" w:eastAsia="zh-CN" w:bidi="ar-SA"/>
              </w:rPr>
              <w:t>学习性工作任务或项目名称</w:t>
            </w:r>
          </w:p>
        </w:tc>
        <w:tc>
          <w:tcPr>
            <w:tcW w:w="1220" w:type="dxa"/>
            <w:gridSpan w:val="2"/>
            <w:tcBorders>
              <w:tl2br w:val="nil"/>
              <w:tr2bl w:val="nil"/>
            </w:tcBorders>
            <w:shd w:val="clear" w:color="auto" w:fill="E7E6E6"/>
            <w:tcMar>
              <w:top w:w="100" w:type="dxa"/>
              <w:left w:w="100" w:type="dxa"/>
              <w:bottom w:w="100" w:type="dxa"/>
              <w:right w:w="100" w:type="dxa"/>
            </w:tcMar>
            <w:vAlign w:val="center"/>
          </w:tcPr>
          <w:p w14:paraId="794633DB">
            <w:pPr>
              <w:pStyle w:val="171"/>
              <w:keepNext w:val="0"/>
              <w:keepLines w:val="0"/>
              <w:topLinePunct/>
              <w:snapToGrid w:val="0"/>
              <w:spacing w:after="40" w:line="240" w:lineRule="atLeast"/>
              <w:jc w:val="center"/>
              <w:rPr>
                <w:rFonts w:ascii="Times New Roman" w:hAnsi="Times New Roman" w:eastAsia="宋体" w:cs="Times New Roman"/>
                <w:bCs/>
                <w:kern w:val="2"/>
                <w:sz w:val="15"/>
                <w:szCs w:val="28"/>
                <w:lang w:val="en-US" w:eastAsia="zh-CN" w:bidi="ar-SA"/>
              </w:rPr>
            </w:pPr>
            <w:r>
              <w:rPr>
                <w:rFonts w:ascii="Arial" w:hAnsi="Arial" w:eastAsia="Heiti SC" w:cs="Arial"/>
                <w:b/>
                <w:bCs/>
                <w:kern w:val="2"/>
                <w:sz w:val="17"/>
                <w:szCs w:val="28"/>
                <w:lang w:val="en-US" w:eastAsia="zh-CN" w:bidi="ar-SA"/>
              </w:rPr>
              <w:t>学时分配</w:t>
            </w:r>
          </w:p>
        </w:tc>
      </w:tr>
      <w:tr w14:paraId="6DBAF82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980" w:type="dxa"/>
            <w:vMerge w:val="continue"/>
            <w:tcBorders>
              <w:tl2br w:val="nil"/>
              <w:tr2bl w:val="nil"/>
            </w:tcBorders>
            <w:vAlign w:val="center"/>
          </w:tcPr>
          <w:p w14:paraId="6226B0BD">
            <w:pPr>
              <w:topLinePunct/>
              <w:snapToGrid w:val="0"/>
              <w:spacing w:after="40" w:line="240" w:lineRule="atLeast"/>
              <w:jc w:val="center"/>
              <w:rPr>
                <w:rFonts w:ascii="Times New Roman" w:hAnsi="Times New Roman" w:eastAsia="宋体" w:cs="Times New Roman"/>
                <w:bCs/>
                <w:kern w:val="2"/>
                <w:sz w:val="15"/>
                <w:szCs w:val="28"/>
                <w:lang w:val="en-US" w:eastAsia="zh-CN" w:bidi="ar-SA"/>
              </w:rPr>
            </w:pPr>
          </w:p>
        </w:tc>
        <w:tc>
          <w:tcPr>
            <w:tcW w:w="1820" w:type="dxa"/>
            <w:vMerge w:val="continue"/>
            <w:tcBorders>
              <w:tl2br w:val="nil"/>
              <w:tr2bl w:val="nil"/>
            </w:tcBorders>
            <w:vAlign w:val="center"/>
          </w:tcPr>
          <w:p w14:paraId="015729C4">
            <w:pPr>
              <w:topLinePunct/>
              <w:snapToGrid w:val="0"/>
              <w:spacing w:after="40" w:line="240" w:lineRule="atLeast"/>
              <w:jc w:val="center"/>
              <w:rPr>
                <w:rFonts w:ascii="Times New Roman" w:hAnsi="Times New Roman" w:eastAsia="宋体" w:cs="Times New Roman"/>
                <w:bCs/>
                <w:kern w:val="2"/>
                <w:sz w:val="15"/>
                <w:szCs w:val="28"/>
                <w:lang w:val="en-US" w:eastAsia="zh-CN" w:bidi="ar-SA"/>
              </w:rPr>
            </w:pPr>
          </w:p>
        </w:tc>
        <w:tc>
          <w:tcPr>
            <w:tcW w:w="1100" w:type="dxa"/>
            <w:vMerge w:val="continue"/>
            <w:tcBorders>
              <w:tl2br w:val="nil"/>
              <w:tr2bl w:val="nil"/>
            </w:tcBorders>
            <w:vAlign w:val="center"/>
          </w:tcPr>
          <w:p w14:paraId="07E9F549">
            <w:pPr>
              <w:topLinePunct/>
              <w:snapToGrid w:val="0"/>
              <w:spacing w:after="40" w:line="240" w:lineRule="atLeast"/>
              <w:jc w:val="center"/>
              <w:rPr>
                <w:rFonts w:ascii="Times New Roman" w:hAnsi="Times New Roman" w:eastAsia="宋体" w:cs="Times New Roman"/>
                <w:bCs/>
                <w:kern w:val="2"/>
                <w:sz w:val="15"/>
                <w:szCs w:val="28"/>
                <w:lang w:val="en-US" w:eastAsia="zh-CN" w:bidi="ar-SA"/>
              </w:rPr>
            </w:pPr>
          </w:p>
        </w:tc>
        <w:tc>
          <w:tcPr>
            <w:tcW w:w="1150" w:type="dxa"/>
            <w:vMerge w:val="continue"/>
            <w:tcBorders>
              <w:tl2br w:val="nil"/>
              <w:tr2bl w:val="nil"/>
            </w:tcBorders>
            <w:vAlign w:val="center"/>
          </w:tcPr>
          <w:p w14:paraId="3573A406">
            <w:pPr>
              <w:topLinePunct/>
              <w:snapToGrid w:val="0"/>
              <w:spacing w:after="40" w:line="240" w:lineRule="atLeast"/>
              <w:jc w:val="center"/>
              <w:rPr>
                <w:rFonts w:ascii="Times New Roman" w:hAnsi="Times New Roman" w:eastAsia="宋体" w:cs="Times New Roman"/>
                <w:bCs/>
                <w:kern w:val="2"/>
                <w:sz w:val="15"/>
                <w:szCs w:val="28"/>
                <w:lang w:val="en-US" w:eastAsia="zh-CN" w:bidi="ar-SA"/>
              </w:rPr>
            </w:pPr>
          </w:p>
        </w:tc>
        <w:tc>
          <w:tcPr>
            <w:tcW w:w="2030" w:type="dxa"/>
            <w:vMerge w:val="continue"/>
            <w:tcBorders>
              <w:tl2br w:val="nil"/>
              <w:tr2bl w:val="nil"/>
            </w:tcBorders>
            <w:vAlign w:val="center"/>
          </w:tcPr>
          <w:p w14:paraId="3068497E">
            <w:pPr>
              <w:topLinePunct/>
              <w:snapToGrid w:val="0"/>
              <w:spacing w:after="40" w:line="240" w:lineRule="atLeast"/>
              <w:jc w:val="center"/>
              <w:rPr>
                <w:rFonts w:ascii="仿宋" w:hAnsi="仿宋" w:eastAsia="宋体" w:cs="Times New Roman"/>
                <w:bCs/>
                <w:kern w:val="2"/>
                <w:sz w:val="15"/>
                <w:szCs w:val="28"/>
                <w:lang w:val="en-US" w:eastAsia="zh-CN" w:bidi="ar-SA"/>
              </w:rPr>
            </w:pPr>
          </w:p>
        </w:tc>
        <w:tc>
          <w:tcPr>
            <w:tcW w:w="620" w:type="dxa"/>
            <w:tcBorders>
              <w:tl2br w:val="nil"/>
              <w:tr2bl w:val="nil"/>
            </w:tcBorders>
            <w:shd w:val="clear" w:color="auto" w:fill="E7E6E6"/>
            <w:tcMar>
              <w:top w:w="100" w:type="dxa"/>
              <w:left w:w="100" w:type="dxa"/>
              <w:bottom w:w="100" w:type="dxa"/>
              <w:right w:w="100" w:type="dxa"/>
            </w:tcMar>
            <w:vAlign w:val="center"/>
          </w:tcPr>
          <w:p w14:paraId="2BD837B3">
            <w:pPr>
              <w:pStyle w:val="171"/>
              <w:keepNext w:val="0"/>
              <w:keepLines w:val="0"/>
              <w:topLinePunct/>
              <w:snapToGrid w:val="0"/>
              <w:spacing w:after="40" w:line="240" w:lineRule="atLeast"/>
              <w:jc w:val="center"/>
              <w:rPr>
                <w:rFonts w:ascii="Times New Roman" w:hAnsi="Times New Roman" w:eastAsia="宋体" w:cs="Times New Roman"/>
                <w:bCs/>
                <w:kern w:val="2"/>
                <w:sz w:val="15"/>
                <w:szCs w:val="28"/>
                <w:lang w:val="en-US" w:eastAsia="zh-CN" w:bidi="ar-SA"/>
              </w:rPr>
            </w:pPr>
            <w:r>
              <w:rPr>
                <w:rFonts w:hint="eastAsia" w:ascii="Arial" w:hAnsi="Arial" w:eastAsia="Heiti SC" w:cs="Arial"/>
                <w:b/>
                <w:bCs/>
                <w:kern w:val="2"/>
                <w:sz w:val="17"/>
                <w:szCs w:val="28"/>
                <w:lang w:val="en-US" w:eastAsia="zh-CN" w:bidi="ar-SA"/>
              </w:rPr>
              <w:t>理论</w:t>
            </w:r>
          </w:p>
        </w:tc>
        <w:tc>
          <w:tcPr>
            <w:tcW w:w="600" w:type="dxa"/>
            <w:tcBorders>
              <w:tl2br w:val="nil"/>
              <w:tr2bl w:val="nil"/>
            </w:tcBorders>
            <w:shd w:val="clear" w:color="auto" w:fill="E7E6E6"/>
            <w:tcMar>
              <w:top w:w="100" w:type="dxa"/>
              <w:left w:w="100" w:type="dxa"/>
              <w:bottom w:w="100" w:type="dxa"/>
              <w:right w:w="100" w:type="dxa"/>
            </w:tcMar>
            <w:vAlign w:val="center"/>
          </w:tcPr>
          <w:p w14:paraId="20DD8819">
            <w:pPr>
              <w:pStyle w:val="171"/>
              <w:keepNext w:val="0"/>
              <w:keepLines w:val="0"/>
              <w:topLinePunct/>
              <w:snapToGrid w:val="0"/>
              <w:spacing w:after="40" w:line="240" w:lineRule="atLeast"/>
              <w:jc w:val="center"/>
              <w:rPr>
                <w:rFonts w:ascii="Times New Roman" w:hAnsi="Times New Roman" w:eastAsia="宋体" w:cs="Times New Roman"/>
                <w:bCs/>
                <w:kern w:val="2"/>
                <w:sz w:val="15"/>
                <w:szCs w:val="28"/>
                <w:lang w:val="en-US" w:eastAsia="zh-CN" w:bidi="ar-SA"/>
              </w:rPr>
            </w:pPr>
            <w:r>
              <w:rPr>
                <w:rFonts w:hint="eastAsia" w:ascii="Arial" w:hAnsi="Arial" w:eastAsia="Heiti SC" w:cs="Arial"/>
                <w:b/>
                <w:bCs/>
                <w:kern w:val="2"/>
                <w:sz w:val="17"/>
                <w:szCs w:val="28"/>
                <w:lang w:val="en-US" w:eastAsia="zh-CN" w:bidi="ar-SA"/>
              </w:rPr>
              <w:t>实操</w:t>
            </w:r>
          </w:p>
        </w:tc>
      </w:tr>
      <w:tr w14:paraId="456789D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0" w:type="dxa"/>
            <w:tcMar>
              <w:top w:w="100" w:type="dxa"/>
              <w:left w:w="100" w:type="dxa"/>
              <w:bottom w:w="100" w:type="dxa"/>
              <w:right w:w="100" w:type="dxa"/>
            </w:tcMar>
            <w:vAlign w:val="center"/>
          </w:tcPr>
          <w:p w14:paraId="34872501">
            <w:pPr>
              <w:pStyle w:val="171"/>
              <w:jc w:val="center"/>
            </w:pPr>
            <w:r>
              <w:rPr>
                <w:rFonts w:ascii="Times New Roman" w:hAnsi="Times New Roman" w:eastAsia="Songti SC" w:cs="Times New Roman"/>
                <w:b w:val="0"/>
                <w:sz w:val="16"/>
              </w:rPr>
              <w:t>M1</w:t>
            </w:r>
            <w:r>
              <w:br w:type="textWrapping"/>
            </w:r>
            <w:r>
              <w:rPr>
                <w:rFonts w:ascii="Times New Roman" w:hAnsi="Times New Roman" w:eastAsia="Songti SC" w:cs="Times New Roman"/>
                <w:b w:val="0"/>
                <w:sz w:val="16"/>
              </w:rPr>
              <w:t>深度学习预备知识与 PyTorch 基础</w:t>
            </w:r>
          </w:p>
        </w:tc>
        <w:tc>
          <w:tcPr>
            <w:tcW w:w="1820" w:type="dxa"/>
            <w:tcMar>
              <w:top w:w="100" w:type="dxa"/>
              <w:left w:w="100" w:type="dxa"/>
              <w:bottom w:w="100" w:type="dxa"/>
              <w:right w:w="100" w:type="dxa"/>
            </w:tcMar>
            <w:vAlign w:val="center"/>
          </w:tcPr>
          <w:p w14:paraId="0F7D35E2">
            <w:pPr>
              <w:pStyle w:val="171"/>
              <w:jc w:val="left"/>
            </w:pPr>
            <w:r>
              <w:rPr>
                <w:rFonts w:ascii="Times New Roman" w:hAnsi="Times New Roman" w:eastAsia="Songti SC" w:cs="Times New Roman"/>
                <w:b w:val="0"/>
                <w:sz w:val="16"/>
              </w:rPr>
              <w:t>数据、数学与自动微分基础</w:t>
            </w:r>
            <w:r>
              <w:br w:type="textWrapping"/>
            </w:r>
            <w:r>
              <w:rPr>
                <w:rFonts w:ascii="Times New Roman" w:hAnsi="Times New Roman" w:eastAsia="Songti SC" w:cs="Times New Roman"/>
                <w:b w:val="0"/>
                <w:sz w:val="16"/>
              </w:rPr>
              <w:t>张量与广播；数据预处理；线性代数；微积分与链式法则；自动微分；概率；文档检索</w:t>
            </w:r>
          </w:p>
        </w:tc>
        <w:tc>
          <w:tcPr>
            <w:tcW w:w="1100" w:type="dxa"/>
            <w:tcMar>
              <w:top w:w="100" w:type="dxa"/>
              <w:left w:w="100" w:type="dxa"/>
              <w:bottom w:w="100" w:type="dxa"/>
              <w:right w:w="100" w:type="dxa"/>
            </w:tcMar>
            <w:vAlign w:val="center"/>
          </w:tcPr>
          <w:p w14:paraId="01A47ED6">
            <w:pPr>
              <w:pStyle w:val="171"/>
              <w:jc w:val="left"/>
            </w:pPr>
            <w:r>
              <w:rPr>
                <w:rFonts w:ascii="Times New Roman" w:hAnsi="Times New Roman" w:eastAsia="Songti SC" w:cs="Times New Roman"/>
                <w:b w:val="0"/>
                <w:sz w:val="16"/>
              </w:rPr>
              <w:t>理解张量的形状、轴、索引、广播和内存机制；理解点积、矩阵乘法、范数、梯度、链式法则、条件概率、期望与方差；理解自动微分计算图。</w:t>
            </w:r>
          </w:p>
        </w:tc>
        <w:tc>
          <w:tcPr>
            <w:tcW w:w="1150" w:type="dxa"/>
            <w:tcMar>
              <w:top w:w="100" w:type="dxa"/>
              <w:left w:w="100" w:type="dxa"/>
              <w:bottom w:w="100" w:type="dxa"/>
              <w:right w:w="100" w:type="dxa"/>
            </w:tcMar>
            <w:vAlign w:val="center"/>
          </w:tcPr>
          <w:p w14:paraId="48D5168B">
            <w:pPr>
              <w:pStyle w:val="171"/>
              <w:jc w:val="left"/>
            </w:pPr>
            <w:r>
              <w:rPr>
                <w:rFonts w:ascii="Times New Roman" w:hAnsi="Times New Roman" w:eastAsia="Songti SC" w:cs="Times New Roman"/>
                <w:b w:val="0"/>
                <w:sz w:val="16"/>
              </w:rPr>
              <w:t>能完成表格数据清洗与张量化；能进行形状推导、公式到代码的转换和梯度验证；能依据官方文档定位并使用陌生 API。</w:t>
            </w:r>
          </w:p>
        </w:tc>
        <w:tc>
          <w:tcPr>
            <w:tcW w:w="2030" w:type="dxa"/>
            <w:tcMar>
              <w:top w:w="100" w:type="dxa"/>
              <w:left w:w="100" w:type="dxa"/>
              <w:bottom w:w="100" w:type="dxa"/>
              <w:right w:w="100" w:type="dxa"/>
            </w:tcMar>
            <w:vAlign w:val="center"/>
          </w:tcPr>
          <w:p w14:paraId="47E84D97">
            <w:pPr>
              <w:pStyle w:val="171"/>
              <w:jc w:val="left"/>
            </w:pPr>
            <w:r>
              <w:rPr>
                <w:rFonts w:ascii="Times New Roman" w:hAnsi="Times New Roman" w:eastAsia="Songti SC" w:cs="Times New Roman"/>
                <w:b w:val="0"/>
                <w:sz w:val="16"/>
              </w:rPr>
              <w:t>完成“张量—数据—梯度”基础实验包：张量操作清单、微型结构化数据数据清洗、自动微分校验、概率采样与 API 检索记录。</w:t>
            </w:r>
          </w:p>
        </w:tc>
        <w:tc>
          <w:tcPr>
            <w:tcW w:w="620" w:type="dxa"/>
            <w:tcMar>
              <w:top w:w="100" w:type="dxa"/>
              <w:left w:w="100" w:type="dxa"/>
              <w:bottom w:w="100" w:type="dxa"/>
              <w:right w:w="100" w:type="dxa"/>
            </w:tcMar>
            <w:vAlign w:val="center"/>
          </w:tcPr>
          <w:p w14:paraId="5A9B0D6A">
            <w:pPr>
              <w:pStyle w:val="171"/>
              <w:jc w:val="center"/>
            </w:pPr>
            <w:r>
              <w:rPr>
                <w:rFonts w:ascii="Times New Roman" w:hAnsi="Times New Roman" w:eastAsia="Songti SC" w:cs="Times New Roman"/>
                <w:b w:val="0"/>
                <w:sz w:val="16"/>
              </w:rPr>
              <w:t>3</w:t>
            </w:r>
          </w:p>
        </w:tc>
        <w:tc>
          <w:tcPr>
            <w:tcW w:w="600" w:type="dxa"/>
            <w:tcMar>
              <w:top w:w="100" w:type="dxa"/>
              <w:left w:w="100" w:type="dxa"/>
              <w:bottom w:w="100" w:type="dxa"/>
              <w:right w:w="100" w:type="dxa"/>
            </w:tcMar>
            <w:vAlign w:val="center"/>
          </w:tcPr>
          <w:p w14:paraId="0530A694">
            <w:pPr>
              <w:pStyle w:val="171"/>
              <w:keepNext w:val="0"/>
              <w:keepLines w:val="0"/>
              <w:jc w:val="left"/>
              <w:rPr>
                <w:rFonts w:hint="eastAsia" w:eastAsia="Songti SC"/>
                <w:lang w:val="en-US" w:eastAsia="zh-CN"/>
              </w:rPr>
            </w:pPr>
            <w:r>
              <w:rPr>
                <w:rFonts w:hint="eastAsia"/>
                <w:lang w:val="en-US" w:eastAsia="zh-CN"/>
              </w:rPr>
              <w:t>3</w:t>
            </w:r>
          </w:p>
        </w:tc>
      </w:tr>
      <w:tr w14:paraId="3E404E2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0" w:type="dxa"/>
            <w:tcMar>
              <w:top w:w="100" w:type="dxa"/>
              <w:left w:w="100" w:type="dxa"/>
              <w:bottom w:w="100" w:type="dxa"/>
              <w:right w:w="100" w:type="dxa"/>
            </w:tcMar>
            <w:vAlign w:val="center"/>
          </w:tcPr>
          <w:p w14:paraId="0AF53965">
            <w:pPr>
              <w:pStyle w:val="171"/>
              <w:jc w:val="center"/>
            </w:pPr>
            <w:r>
              <w:rPr>
                <w:rFonts w:ascii="Times New Roman" w:hAnsi="Times New Roman" w:eastAsia="Songti SC" w:cs="Times New Roman"/>
                <w:b w:val="0"/>
                <w:sz w:val="16"/>
              </w:rPr>
              <w:t>M2</w:t>
            </w:r>
            <w:r>
              <w:br w:type="textWrapping"/>
            </w:r>
            <w:r>
              <w:rPr>
                <w:rFonts w:ascii="Times New Roman" w:hAnsi="Times New Roman" w:eastAsia="Songti SC" w:cs="Times New Roman"/>
                <w:b w:val="0"/>
                <w:sz w:val="16"/>
              </w:rPr>
              <w:t>线性回归与 Softmax 分类</w:t>
            </w:r>
          </w:p>
        </w:tc>
        <w:tc>
          <w:tcPr>
            <w:tcW w:w="1820" w:type="dxa"/>
            <w:tcMar>
              <w:top w:w="100" w:type="dxa"/>
              <w:left w:w="100" w:type="dxa"/>
              <w:bottom w:w="100" w:type="dxa"/>
              <w:right w:w="100" w:type="dxa"/>
            </w:tcMar>
            <w:vAlign w:val="center"/>
          </w:tcPr>
          <w:p w14:paraId="4325F06E">
            <w:pPr>
              <w:pStyle w:val="171"/>
              <w:jc w:val="left"/>
            </w:pPr>
            <w:r>
              <w:rPr>
                <w:rFonts w:ascii="Times New Roman" w:hAnsi="Times New Roman" w:eastAsia="Songti SC" w:cs="Times New Roman"/>
                <w:b w:val="0"/>
                <w:sz w:val="16"/>
              </w:rPr>
              <w:t>监督学习与线性模型</w:t>
            </w:r>
            <w:r>
              <w:br w:type="textWrapping"/>
            </w:r>
            <w:r>
              <w:rPr>
                <w:rFonts w:ascii="Times New Roman" w:hAnsi="Times New Roman" w:eastAsia="Songti SC" w:cs="Times New Roman"/>
                <w:b w:val="0"/>
                <w:sz w:val="16"/>
              </w:rPr>
              <w:t>线性回归；平方损失；小批量随机梯度下降；向量化；softmax；交叉熵；公开十分类图像数据集；训练与评价</w:t>
            </w:r>
          </w:p>
        </w:tc>
        <w:tc>
          <w:tcPr>
            <w:tcW w:w="1100" w:type="dxa"/>
            <w:tcMar>
              <w:top w:w="100" w:type="dxa"/>
              <w:left w:w="100" w:type="dxa"/>
              <w:bottom w:w="100" w:type="dxa"/>
              <w:right w:w="100" w:type="dxa"/>
            </w:tcMar>
            <w:vAlign w:val="center"/>
          </w:tcPr>
          <w:p w14:paraId="33EBF177">
            <w:pPr>
              <w:pStyle w:val="171"/>
              <w:jc w:val="left"/>
            </w:pPr>
            <w:r>
              <w:rPr>
                <w:rFonts w:ascii="Times New Roman" w:hAnsi="Times New Roman" w:eastAsia="Songti SC" w:cs="Times New Roman"/>
                <w:b w:val="0"/>
                <w:sz w:val="16"/>
              </w:rPr>
              <w:t>理解监督学习四要素、线性回归、平方损失、softmax 概率映射、交叉熵和分类精度；理解批量训练与向量化。</w:t>
            </w:r>
          </w:p>
        </w:tc>
        <w:tc>
          <w:tcPr>
            <w:tcW w:w="1150" w:type="dxa"/>
            <w:tcMar>
              <w:top w:w="100" w:type="dxa"/>
              <w:left w:w="100" w:type="dxa"/>
              <w:bottom w:w="100" w:type="dxa"/>
              <w:right w:w="100" w:type="dxa"/>
            </w:tcMar>
            <w:vAlign w:val="center"/>
          </w:tcPr>
          <w:p w14:paraId="6CF326FB">
            <w:pPr>
              <w:pStyle w:val="171"/>
              <w:jc w:val="left"/>
            </w:pPr>
            <w:r>
              <w:rPr>
                <w:rFonts w:ascii="Times New Roman" w:hAnsi="Times New Roman" w:eastAsia="Songti SC" w:cs="Times New Roman"/>
                <w:b w:val="0"/>
                <w:sz w:val="16"/>
              </w:rPr>
              <w:t>能从零实现并用 PyTorch 高级 API 重构回归和分类训练流程；能绘制曲线、比较超参数并分析预测错误。</w:t>
            </w:r>
          </w:p>
        </w:tc>
        <w:tc>
          <w:tcPr>
            <w:tcW w:w="2030" w:type="dxa"/>
            <w:tcMar>
              <w:top w:w="100" w:type="dxa"/>
              <w:left w:w="100" w:type="dxa"/>
              <w:bottom w:w="100" w:type="dxa"/>
              <w:right w:w="100" w:type="dxa"/>
            </w:tcMar>
            <w:vAlign w:val="center"/>
          </w:tcPr>
          <w:p w14:paraId="2F0FC446">
            <w:pPr>
              <w:pStyle w:val="171"/>
              <w:jc w:val="left"/>
            </w:pPr>
            <w:r>
              <w:rPr>
                <w:rFonts w:ascii="Times New Roman" w:hAnsi="Times New Roman" w:eastAsia="Songti SC" w:cs="Times New Roman"/>
                <w:b w:val="0"/>
                <w:sz w:val="16"/>
              </w:rPr>
              <w:t>完成“从零到框架”的双实现项目：合成数据参数恢复、向量化性能测试和 公开十分类图像数据集 线性分类器。</w:t>
            </w:r>
          </w:p>
        </w:tc>
        <w:tc>
          <w:tcPr>
            <w:tcW w:w="620" w:type="dxa"/>
            <w:tcMar>
              <w:top w:w="100" w:type="dxa"/>
              <w:left w:w="100" w:type="dxa"/>
              <w:bottom w:w="100" w:type="dxa"/>
              <w:right w:w="100" w:type="dxa"/>
            </w:tcMar>
            <w:vAlign w:val="center"/>
          </w:tcPr>
          <w:p w14:paraId="5CCD530D">
            <w:pPr>
              <w:pStyle w:val="171"/>
              <w:jc w:val="center"/>
            </w:pPr>
            <w:r>
              <w:rPr>
                <w:rFonts w:ascii="Times New Roman" w:hAnsi="Times New Roman" w:eastAsia="Songti SC" w:cs="Times New Roman"/>
                <w:b w:val="0"/>
                <w:sz w:val="16"/>
              </w:rPr>
              <w:t>3</w:t>
            </w:r>
          </w:p>
        </w:tc>
        <w:tc>
          <w:tcPr>
            <w:tcW w:w="600" w:type="dxa"/>
            <w:tcMar>
              <w:top w:w="100" w:type="dxa"/>
              <w:left w:w="100" w:type="dxa"/>
              <w:bottom w:w="100" w:type="dxa"/>
              <w:right w:w="100" w:type="dxa"/>
            </w:tcMar>
            <w:vAlign w:val="center"/>
          </w:tcPr>
          <w:p w14:paraId="3E0AD2FC">
            <w:pPr>
              <w:pStyle w:val="171"/>
              <w:keepNext w:val="0"/>
              <w:keepLines w:val="0"/>
              <w:jc w:val="left"/>
              <w:rPr>
                <w:rFonts w:hint="eastAsia" w:eastAsia="Songti SC"/>
                <w:lang w:val="en-US" w:eastAsia="zh-CN"/>
              </w:rPr>
            </w:pPr>
            <w:r>
              <w:rPr>
                <w:rFonts w:hint="eastAsia"/>
                <w:lang w:val="en-US" w:eastAsia="zh-CN"/>
              </w:rPr>
              <w:t>3</w:t>
            </w:r>
          </w:p>
        </w:tc>
      </w:tr>
      <w:tr w14:paraId="088A94C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0" w:type="dxa"/>
            <w:tcMar>
              <w:top w:w="100" w:type="dxa"/>
              <w:left w:w="100" w:type="dxa"/>
              <w:bottom w:w="100" w:type="dxa"/>
              <w:right w:w="100" w:type="dxa"/>
            </w:tcMar>
            <w:vAlign w:val="center"/>
          </w:tcPr>
          <w:p w14:paraId="2BE47B86">
            <w:pPr>
              <w:pStyle w:val="171"/>
              <w:jc w:val="center"/>
            </w:pPr>
            <w:r>
              <w:rPr>
                <w:rFonts w:ascii="Times New Roman" w:hAnsi="Times New Roman" w:eastAsia="Songti SC" w:cs="Times New Roman"/>
                <w:b w:val="0"/>
                <w:sz w:val="16"/>
              </w:rPr>
              <w:t>M3</w:t>
            </w:r>
            <w:r>
              <w:br w:type="textWrapping"/>
            </w:r>
            <w:r>
              <w:rPr>
                <w:rFonts w:ascii="Times New Roman" w:hAnsi="Times New Roman" w:eastAsia="Songti SC" w:cs="Times New Roman"/>
                <w:b w:val="0"/>
                <w:sz w:val="16"/>
              </w:rPr>
              <w:t>多层感知机、泛化与正则化</w:t>
            </w:r>
          </w:p>
        </w:tc>
        <w:tc>
          <w:tcPr>
            <w:tcW w:w="1820" w:type="dxa"/>
            <w:tcMar>
              <w:top w:w="100" w:type="dxa"/>
              <w:left w:w="100" w:type="dxa"/>
              <w:bottom w:w="100" w:type="dxa"/>
              <w:right w:w="100" w:type="dxa"/>
            </w:tcMar>
            <w:vAlign w:val="center"/>
          </w:tcPr>
          <w:p w14:paraId="3A91DCA9">
            <w:pPr>
              <w:pStyle w:val="171"/>
              <w:jc w:val="left"/>
            </w:pPr>
            <w:r>
              <w:rPr>
                <w:rFonts w:ascii="Times New Roman" w:hAnsi="Times New Roman" w:eastAsia="Songti SC" w:cs="Times New Roman"/>
                <w:b w:val="0"/>
                <w:sz w:val="16"/>
              </w:rPr>
              <w:t>非线性网络与泛化控制</w:t>
            </w:r>
            <w:r>
              <w:br w:type="textWrapping"/>
            </w:r>
            <w:r>
              <w:rPr>
                <w:rFonts w:ascii="Times New Roman" w:hAnsi="Times New Roman" w:eastAsia="Songti SC" w:cs="Times New Roman"/>
                <w:b w:val="0"/>
                <w:sz w:val="16"/>
              </w:rPr>
              <w:t>隐藏层与激活函数；模型选择；欠拟合与过拟合；权重衰减；Dropout；反向传播；初始化；分布偏移；结构化数据回归预测</w:t>
            </w:r>
          </w:p>
        </w:tc>
        <w:tc>
          <w:tcPr>
            <w:tcW w:w="1100" w:type="dxa"/>
            <w:tcMar>
              <w:top w:w="100" w:type="dxa"/>
              <w:left w:w="100" w:type="dxa"/>
              <w:bottom w:w="100" w:type="dxa"/>
              <w:right w:w="100" w:type="dxa"/>
            </w:tcMar>
            <w:vAlign w:val="center"/>
          </w:tcPr>
          <w:p w14:paraId="64C938B4">
            <w:pPr>
              <w:pStyle w:val="171"/>
              <w:jc w:val="left"/>
            </w:pPr>
            <w:r>
              <w:rPr>
                <w:rFonts w:ascii="Times New Roman" w:hAnsi="Times New Roman" w:eastAsia="Songti SC" w:cs="Times New Roman"/>
                <w:b w:val="0"/>
                <w:sz w:val="16"/>
              </w:rPr>
              <w:t>理解非线性表达、训练与泛化误差、正则化、计算图、梯度稳定性、初始化和分布偏移；理解交叉验证与真实项目评价。</w:t>
            </w:r>
          </w:p>
        </w:tc>
        <w:tc>
          <w:tcPr>
            <w:tcW w:w="1150" w:type="dxa"/>
            <w:tcMar>
              <w:top w:w="100" w:type="dxa"/>
              <w:left w:w="100" w:type="dxa"/>
              <w:bottom w:w="100" w:type="dxa"/>
              <w:right w:w="100" w:type="dxa"/>
            </w:tcMar>
            <w:vAlign w:val="center"/>
          </w:tcPr>
          <w:p w14:paraId="443451B0">
            <w:pPr>
              <w:pStyle w:val="171"/>
              <w:jc w:val="left"/>
            </w:pPr>
            <w:r>
              <w:rPr>
                <w:rFonts w:ascii="Times New Roman" w:hAnsi="Times New Roman" w:eastAsia="Songti SC" w:cs="Times New Roman"/>
                <w:b w:val="0"/>
                <w:sz w:val="16"/>
              </w:rPr>
              <w:t>能搭建 MLP，诊断欠拟合和过拟合，设计正则化消融，检查分布偏移，并完成结构化数据回归预测端到端项目。</w:t>
            </w:r>
          </w:p>
        </w:tc>
        <w:tc>
          <w:tcPr>
            <w:tcW w:w="2030" w:type="dxa"/>
            <w:tcMar>
              <w:top w:w="100" w:type="dxa"/>
              <w:left w:w="100" w:type="dxa"/>
              <w:bottom w:w="100" w:type="dxa"/>
              <w:right w:w="100" w:type="dxa"/>
            </w:tcMar>
            <w:vAlign w:val="center"/>
          </w:tcPr>
          <w:p w14:paraId="32121F59">
            <w:pPr>
              <w:pStyle w:val="171"/>
              <w:jc w:val="left"/>
            </w:pPr>
            <w:r>
              <w:rPr>
                <w:rFonts w:ascii="Times New Roman" w:hAnsi="Times New Roman" w:eastAsia="Songti SC" w:cs="Times New Roman"/>
                <w:b w:val="0"/>
                <w:sz w:val="16"/>
              </w:rPr>
              <w:t>完成“泛化诊断与结构化数据回归预测”项目：激活函数比较、多项式拟合、权重衰减/Dropout 消融、K 折验证和模型卡。</w:t>
            </w:r>
          </w:p>
        </w:tc>
        <w:tc>
          <w:tcPr>
            <w:tcW w:w="620" w:type="dxa"/>
            <w:tcMar>
              <w:top w:w="100" w:type="dxa"/>
              <w:left w:w="100" w:type="dxa"/>
              <w:bottom w:w="100" w:type="dxa"/>
              <w:right w:w="100" w:type="dxa"/>
            </w:tcMar>
            <w:vAlign w:val="center"/>
          </w:tcPr>
          <w:p w14:paraId="79183381">
            <w:pPr>
              <w:pStyle w:val="171"/>
              <w:jc w:val="center"/>
              <w:rPr>
                <w:rFonts w:hint="eastAsia" w:eastAsia="Songti SC"/>
                <w:lang w:val="en-US" w:eastAsia="zh-CN"/>
              </w:rPr>
            </w:pPr>
            <w:r>
              <w:rPr>
                <w:rFonts w:hint="eastAsia"/>
                <w:lang w:val="en-US" w:eastAsia="zh-CN"/>
              </w:rPr>
              <w:t>3</w:t>
            </w:r>
          </w:p>
        </w:tc>
        <w:tc>
          <w:tcPr>
            <w:tcW w:w="600" w:type="dxa"/>
            <w:tcMar>
              <w:top w:w="100" w:type="dxa"/>
              <w:left w:w="100" w:type="dxa"/>
              <w:bottom w:w="100" w:type="dxa"/>
              <w:right w:w="100" w:type="dxa"/>
            </w:tcMar>
            <w:vAlign w:val="center"/>
          </w:tcPr>
          <w:p w14:paraId="09F574D0">
            <w:pPr>
              <w:pStyle w:val="171"/>
              <w:keepNext w:val="0"/>
              <w:keepLines w:val="0"/>
              <w:jc w:val="left"/>
              <w:rPr>
                <w:rFonts w:hint="eastAsia" w:eastAsia="Songti SC"/>
                <w:lang w:val="en-US" w:eastAsia="zh-CN"/>
              </w:rPr>
            </w:pPr>
            <w:r>
              <w:rPr>
                <w:rFonts w:hint="eastAsia"/>
                <w:lang w:val="en-US" w:eastAsia="zh-CN"/>
              </w:rPr>
              <w:t>3</w:t>
            </w:r>
          </w:p>
        </w:tc>
      </w:tr>
      <w:tr w14:paraId="46392A2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0" w:type="dxa"/>
            <w:tcMar>
              <w:top w:w="100" w:type="dxa"/>
              <w:left w:w="100" w:type="dxa"/>
              <w:bottom w:w="100" w:type="dxa"/>
              <w:right w:w="100" w:type="dxa"/>
            </w:tcMar>
            <w:vAlign w:val="center"/>
          </w:tcPr>
          <w:p w14:paraId="18DAB6E7">
            <w:pPr>
              <w:pStyle w:val="171"/>
              <w:jc w:val="center"/>
            </w:pPr>
            <w:r>
              <w:rPr>
                <w:rFonts w:ascii="Times New Roman" w:hAnsi="Times New Roman" w:eastAsia="Songti SC" w:cs="Times New Roman"/>
                <w:b w:val="0"/>
                <w:sz w:val="16"/>
              </w:rPr>
              <w:t>M4</w:t>
            </w:r>
            <w:r>
              <w:br w:type="textWrapping"/>
            </w:r>
            <w:r>
              <w:rPr>
                <w:rFonts w:ascii="Times New Roman" w:hAnsi="Times New Roman" w:eastAsia="Songti SC" w:cs="Times New Roman"/>
                <w:b w:val="0"/>
                <w:sz w:val="16"/>
              </w:rPr>
              <w:t>卷积神经网络与图像分类</w:t>
            </w:r>
          </w:p>
        </w:tc>
        <w:tc>
          <w:tcPr>
            <w:tcW w:w="1820" w:type="dxa"/>
            <w:tcMar>
              <w:top w:w="100" w:type="dxa"/>
              <w:left w:w="100" w:type="dxa"/>
              <w:bottom w:w="100" w:type="dxa"/>
              <w:right w:w="100" w:type="dxa"/>
            </w:tcMar>
            <w:vAlign w:val="center"/>
          </w:tcPr>
          <w:p w14:paraId="3B88AAE4">
            <w:pPr>
              <w:pStyle w:val="171"/>
              <w:jc w:val="left"/>
            </w:pPr>
            <w:r>
              <w:rPr>
                <w:rFonts w:ascii="Times New Roman" w:hAnsi="Times New Roman" w:eastAsia="Songti SC" w:cs="Times New Roman"/>
                <w:b w:val="0"/>
                <w:sz w:val="16"/>
              </w:rPr>
              <w:t>卷积表示与图像分类</w:t>
            </w:r>
            <w:r>
              <w:br w:type="textWrapping"/>
            </w:r>
            <w:r>
              <w:rPr>
                <w:rFonts w:ascii="Times New Roman" w:hAnsi="Times New Roman" w:eastAsia="Songti SC" w:cs="Times New Roman"/>
                <w:b w:val="0"/>
                <w:sz w:val="16"/>
              </w:rPr>
              <w:t>局部性与平移不变性；二维互相关；卷积核；填充与步幅；多通道；1×1 卷积；汇聚；基础卷积分类网络</w:t>
            </w:r>
          </w:p>
        </w:tc>
        <w:tc>
          <w:tcPr>
            <w:tcW w:w="1100" w:type="dxa"/>
            <w:tcMar>
              <w:top w:w="100" w:type="dxa"/>
              <w:left w:w="100" w:type="dxa"/>
              <w:bottom w:w="100" w:type="dxa"/>
              <w:right w:w="100" w:type="dxa"/>
            </w:tcMar>
            <w:vAlign w:val="center"/>
          </w:tcPr>
          <w:p w14:paraId="64882BCA">
            <w:pPr>
              <w:pStyle w:val="171"/>
              <w:jc w:val="left"/>
            </w:pPr>
            <w:r>
              <w:rPr>
                <w:rFonts w:ascii="Times New Roman" w:hAnsi="Times New Roman" w:eastAsia="Songti SC" w:cs="Times New Roman"/>
                <w:b w:val="0"/>
                <w:sz w:val="16"/>
              </w:rPr>
              <w:t>理解卷积的归纳偏置、特征映射和感受野；掌握输出尺寸、多输入多输出通道、汇聚及 基础卷积分类网络 结构。</w:t>
            </w:r>
          </w:p>
        </w:tc>
        <w:tc>
          <w:tcPr>
            <w:tcW w:w="1150" w:type="dxa"/>
            <w:tcMar>
              <w:top w:w="100" w:type="dxa"/>
              <w:left w:w="100" w:type="dxa"/>
              <w:bottom w:w="100" w:type="dxa"/>
              <w:right w:w="100" w:type="dxa"/>
            </w:tcMar>
            <w:vAlign w:val="center"/>
          </w:tcPr>
          <w:p w14:paraId="4068B558">
            <w:pPr>
              <w:pStyle w:val="171"/>
              <w:jc w:val="left"/>
            </w:pPr>
            <w:r>
              <w:rPr>
                <w:rFonts w:ascii="Times New Roman" w:hAnsi="Times New Roman" w:eastAsia="Songti SC" w:cs="Times New Roman"/>
                <w:b w:val="0"/>
                <w:sz w:val="16"/>
              </w:rPr>
              <w:t>能从零实现互相关和汇聚，推导卷积输出形状，搭建并训练 基础卷积分类网络，开展特征可视化和结构消融。</w:t>
            </w:r>
          </w:p>
        </w:tc>
        <w:tc>
          <w:tcPr>
            <w:tcW w:w="2030" w:type="dxa"/>
            <w:tcMar>
              <w:top w:w="100" w:type="dxa"/>
              <w:left w:w="100" w:type="dxa"/>
              <w:bottom w:w="100" w:type="dxa"/>
              <w:right w:w="100" w:type="dxa"/>
            </w:tcMar>
            <w:vAlign w:val="center"/>
          </w:tcPr>
          <w:p w14:paraId="4E55B0AD">
            <w:pPr>
              <w:pStyle w:val="171"/>
              <w:jc w:val="left"/>
            </w:pPr>
            <w:r>
              <w:rPr>
                <w:rFonts w:ascii="Times New Roman" w:hAnsi="Times New Roman" w:eastAsia="Songti SC" w:cs="Times New Roman"/>
                <w:b w:val="0"/>
                <w:sz w:val="16"/>
              </w:rPr>
              <w:t>完成“从边缘检测到 基础卷积分类网络”视觉项目：卷积核学习、尺寸推导、多通道验证、公开十分类图像数据集 分类和中间特征分析。</w:t>
            </w:r>
          </w:p>
        </w:tc>
        <w:tc>
          <w:tcPr>
            <w:tcW w:w="620" w:type="dxa"/>
            <w:tcMar>
              <w:top w:w="100" w:type="dxa"/>
              <w:left w:w="100" w:type="dxa"/>
              <w:bottom w:w="100" w:type="dxa"/>
              <w:right w:w="100" w:type="dxa"/>
            </w:tcMar>
            <w:vAlign w:val="center"/>
          </w:tcPr>
          <w:p w14:paraId="353CFEAE">
            <w:pPr>
              <w:pStyle w:val="171"/>
              <w:jc w:val="center"/>
              <w:rPr>
                <w:rFonts w:hint="default" w:eastAsia="Songti SC"/>
                <w:lang w:val="en-US" w:eastAsia="zh-CN"/>
              </w:rPr>
            </w:pPr>
            <w:r>
              <w:rPr>
                <w:rFonts w:hint="eastAsia"/>
                <w:lang w:val="en-US" w:eastAsia="zh-CN"/>
              </w:rPr>
              <w:t>5</w:t>
            </w:r>
          </w:p>
        </w:tc>
        <w:tc>
          <w:tcPr>
            <w:tcW w:w="600" w:type="dxa"/>
            <w:tcMar>
              <w:top w:w="100" w:type="dxa"/>
              <w:left w:w="100" w:type="dxa"/>
              <w:bottom w:w="100" w:type="dxa"/>
              <w:right w:w="100" w:type="dxa"/>
            </w:tcMar>
            <w:vAlign w:val="center"/>
          </w:tcPr>
          <w:p w14:paraId="3B937E16">
            <w:pPr>
              <w:pStyle w:val="171"/>
              <w:jc w:val="center"/>
              <w:rPr>
                <w:rFonts w:hint="default" w:eastAsia="Songti SC"/>
                <w:lang w:val="en-US" w:eastAsia="zh-CN"/>
              </w:rPr>
            </w:pPr>
            <w:r>
              <w:rPr>
                <w:rFonts w:hint="eastAsia"/>
                <w:lang w:val="en-US" w:eastAsia="zh-CN"/>
              </w:rPr>
              <w:t>5</w:t>
            </w:r>
          </w:p>
        </w:tc>
      </w:tr>
      <w:tr w14:paraId="6C07F2C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0" w:type="dxa"/>
            <w:tcMar>
              <w:top w:w="100" w:type="dxa"/>
              <w:left w:w="100" w:type="dxa"/>
              <w:bottom w:w="100" w:type="dxa"/>
              <w:right w:w="100" w:type="dxa"/>
            </w:tcMar>
            <w:vAlign w:val="center"/>
          </w:tcPr>
          <w:p w14:paraId="221DCB07">
            <w:pPr>
              <w:pStyle w:val="171"/>
              <w:jc w:val="center"/>
            </w:pPr>
            <w:r>
              <w:rPr>
                <w:rFonts w:ascii="Times New Roman" w:hAnsi="Times New Roman" w:eastAsia="Songti SC" w:cs="Times New Roman"/>
                <w:b w:val="0"/>
                <w:sz w:val="16"/>
              </w:rPr>
              <w:t>M5</w:t>
            </w:r>
            <w:r>
              <w:br w:type="textWrapping"/>
            </w:r>
            <w:r>
              <w:rPr>
                <w:rFonts w:ascii="Times New Roman" w:hAnsi="Times New Roman" w:eastAsia="Songti SC" w:cs="Times New Roman"/>
                <w:b w:val="0"/>
                <w:sz w:val="16"/>
              </w:rPr>
              <w:t>循环神经网络与序列建模</w:t>
            </w:r>
          </w:p>
        </w:tc>
        <w:tc>
          <w:tcPr>
            <w:tcW w:w="1820" w:type="dxa"/>
            <w:tcMar>
              <w:top w:w="100" w:type="dxa"/>
              <w:left w:w="100" w:type="dxa"/>
              <w:bottom w:w="100" w:type="dxa"/>
              <w:right w:w="100" w:type="dxa"/>
            </w:tcMar>
            <w:vAlign w:val="center"/>
          </w:tcPr>
          <w:p w14:paraId="38873C39">
            <w:pPr>
              <w:pStyle w:val="171"/>
              <w:jc w:val="left"/>
            </w:pPr>
            <w:r>
              <w:rPr>
                <w:rFonts w:ascii="Times New Roman" w:hAnsi="Times New Roman" w:eastAsia="Songti SC" w:cs="Times New Roman"/>
                <w:b w:val="0"/>
                <w:sz w:val="16"/>
              </w:rPr>
              <w:t>序列数据与循环建模</w:t>
            </w:r>
            <w:r>
              <w:br w:type="textWrapping"/>
            </w:r>
            <w:r>
              <w:rPr>
                <w:rFonts w:ascii="Times New Roman" w:hAnsi="Times New Roman" w:eastAsia="Songti SC" w:cs="Times New Roman"/>
                <w:b w:val="0"/>
                <w:sz w:val="16"/>
              </w:rPr>
              <w:t>自回归与马尔可夫假设；文本预处理；语言模型；序列采样；RNN；困惑度；隐状态；梯度裁剪；BPTT</w:t>
            </w:r>
          </w:p>
        </w:tc>
        <w:tc>
          <w:tcPr>
            <w:tcW w:w="1100" w:type="dxa"/>
            <w:tcMar>
              <w:top w:w="100" w:type="dxa"/>
              <w:left w:w="100" w:type="dxa"/>
              <w:bottom w:w="100" w:type="dxa"/>
              <w:right w:w="100" w:type="dxa"/>
            </w:tcMar>
            <w:vAlign w:val="center"/>
          </w:tcPr>
          <w:p w14:paraId="5928D182">
            <w:pPr>
              <w:pStyle w:val="171"/>
              <w:jc w:val="left"/>
            </w:pPr>
            <w:r>
              <w:rPr>
                <w:rFonts w:ascii="Times New Roman" w:hAnsi="Times New Roman" w:eastAsia="Songti SC" w:cs="Times New Roman"/>
                <w:b w:val="0"/>
                <w:sz w:val="16"/>
              </w:rPr>
              <w:t>理解序列概率分解、隐状态、跨时间参数共享、语言模型、困惑度、梯度爆炸/消失和截断 BPTT。</w:t>
            </w:r>
          </w:p>
        </w:tc>
        <w:tc>
          <w:tcPr>
            <w:tcW w:w="1150" w:type="dxa"/>
            <w:tcMar>
              <w:top w:w="100" w:type="dxa"/>
              <w:left w:w="100" w:type="dxa"/>
              <w:bottom w:w="100" w:type="dxa"/>
              <w:right w:w="100" w:type="dxa"/>
            </w:tcMar>
            <w:vAlign w:val="center"/>
          </w:tcPr>
          <w:p w14:paraId="55690CDC">
            <w:pPr>
              <w:pStyle w:val="171"/>
              <w:jc w:val="left"/>
            </w:pPr>
            <w:r>
              <w:rPr>
                <w:rFonts w:ascii="Times New Roman" w:hAnsi="Times New Roman" w:eastAsia="Songti SC" w:cs="Times New Roman"/>
                <w:b w:val="0"/>
                <w:sz w:val="16"/>
              </w:rPr>
              <w:t>能构建无时间泄漏的数据管道，从零与使用 nn.RNN 实现字符语言模型，正确管理隐状态并评价多步预测。</w:t>
            </w:r>
          </w:p>
        </w:tc>
        <w:tc>
          <w:tcPr>
            <w:tcW w:w="2030" w:type="dxa"/>
            <w:tcMar>
              <w:top w:w="100" w:type="dxa"/>
              <w:left w:w="100" w:type="dxa"/>
              <w:bottom w:w="100" w:type="dxa"/>
              <w:right w:w="100" w:type="dxa"/>
            </w:tcMar>
            <w:vAlign w:val="center"/>
          </w:tcPr>
          <w:p w14:paraId="03E52826">
            <w:pPr>
              <w:pStyle w:val="171"/>
              <w:jc w:val="left"/>
            </w:pPr>
            <w:r>
              <w:rPr>
                <w:rFonts w:ascii="Times New Roman" w:hAnsi="Times New Roman" w:eastAsia="Songti SC" w:cs="Times New Roman"/>
                <w:b w:val="0"/>
                <w:sz w:val="16"/>
              </w:rPr>
              <w:t>完成“序列预测与字符语言模型”项目：时间序列多步预测、文本词元化、两种采样器、RNN 双实现和稳定性消融。</w:t>
            </w:r>
          </w:p>
        </w:tc>
        <w:tc>
          <w:tcPr>
            <w:tcW w:w="620" w:type="dxa"/>
            <w:tcMar>
              <w:top w:w="100" w:type="dxa"/>
              <w:left w:w="100" w:type="dxa"/>
              <w:bottom w:w="100" w:type="dxa"/>
              <w:right w:w="100" w:type="dxa"/>
            </w:tcMar>
            <w:vAlign w:val="center"/>
          </w:tcPr>
          <w:p w14:paraId="78188375">
            <w:pPr>
              <w:pStyle w:val="171"/>
              <w:jc w:val="center"/>
              <w:rPr>
                <w:rFonts w:hint="default" w:eastAsia="Songti SC"/>
                <w:lang w:val="en-US" w:eastAsia="zh-CN"/>
              </w:rPr>
            </w:pPr>
            <w:r>
              <w:rPr>
                <w:rFonts w:hint="eastAsia"/>
                <w:lang w:val="en-US" w:eastAsia="zh-CN"/>
              </w:rPr>
              <w:t>5</w:t>
            </w:r>
          </w:p>
        </w:tc>
        <w:tc>
          <w:tcPr>
            <w:tcW w:w="600" w:type="dxa"/>
            <w:tcMar>
              <w:top w:w="100" w:type="dxa"/>
              <w:left w:w="100" w:type="dxa"/>
              <w:bottom w:w="100" w:type="dxa"/>
              <w:right w:w="100" w:type="dxa"/>
            </w:tcMar>
            <w:vAlign w:val="center"/>
          </w:tcPr>
          <w:p w14:paraId="06098AA1">
            <w:pPr>
              <w:pStyle w:val="171"/>
              <w:keepNext w:val="0"/>
              <w:keepLines w:val="0"/>
              <w:jc w:val="left"/>
              <w:rPr>
                <w:rFonts w:hint="default" w:eastAsia="Songti SC"/>
                <w:lang w:val="en-US" w:eastAsia="zh-CN"/>
              </w:rPr>
            </w:pPr>
            <w:r>
              <w:rPr>
                <w:rFonts w:hint="eastAsia"/>
                <w:lang w:val="en-US" w:eastAsia="zh-CN"/>
              </w:rPr>
              <w:t>5</w:t>
            </w:r>
          </w:p>
        </w:tc>
      </w:tr>
      <w:tr w14:paraId="6DAF4E6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0" w:type="dxa"/>
            <w:tcMar>
              <w:top w:w="100" w:type="dxa"/>
              <w:left w:w="100" w:type="dxa"/>
              <w:bottom w:w="100" w:type="dxa"/>
              <w:right w:w="100" w:type="dxa"/>
            </w:tcMar>
            <w:vAlign w:val="center"/>
          </w:tcPr>
          <w:p w14:paraId="57894C91">
            <w:pPr>
              <w:pStyle w:val="171"/>
              <w:jc w:val="center"/>
            </w:pPr>
            <w:r>
              <w:rPr>
                <w:rFonts w:ascii="Times New Roman" w:hAnsi="Times New Roman" w:eastAsia="Songti SC" w:cs="Times New Roman"/>
                <w:b w:val="0"/>
                <w:sz w:val="16"/>
              </w:rPr>
              <w:t>M6</w:t>
            </w:r>
            <w:r>
              <w:br w:type="textWrapping"/>
            </w:r>
            <w:r>
              <w:rPr>
                <w:rFonts w:ascii="Times New Roman" w:hAnsi="Times New Roman" w:eastAsia="Songti SC" w:cs="Times New Roman"/>
                <w:b w:val="0"/>
                <w:sz w:val="16"/>
              </w:rPr>
              <w:t>图像增广、迁移学习与微调</w:t>
            </w:r>
          </w:p>
        </w:tc>
        <w:tc>
          <w:tcPr>
            <w:tcW w:w="1820" w:type="dxa"/>
            <w:tcMar>
              <w:top w:w="100" w:type="dxa"/>
              <w:left w:w="100" w:type="dxa"/>
              <w:bottom w:w="100" w:type="dxa"/>
              <w:right w:w="100" w:type="dxa"/>
            </w:tcMar>
            <w:vAlign w:val="center"/>
          </w:tcPr>
          <w:p w14:paraId="7421FED7">
            <w:pPr>
              <w:pStyle w:val="171"/>
              <w:jc w:val="left"/>
            </w:pPr>
            <w:r>
              <w:rPr>
                <w:rFonts w:ascii="Times New Roman" w:hAnsi="Times New Roman" w:eastAsia="Songti SC" w:cs="Times New Roman"/>
                <w:b w:val="0"/>
                <w:sz w:val="16"/>
              </w:rPr>
              <w:t>计算机视觉应用（一）</w:t>
            </w:r>
            <w:r>
              <w:br w:type="textWrapping"/>
            </w:r>
            <w:r>
              <w:rPr>
                <w:rFonts w:ascii="Times New Roman" w:hAnsi="Times New Roman" w:eastAsia="Songti SC" w:cs="Times New Roman"/>
                <w:b w:val="0"/>
                <w:sz w:val="16"/>
              </w:rPr>
              <w:t>图像增广；训练与预测变换差异；预训练模型；迁移学习；分类头替换；冻结与解冻；差分学习率；有限样本图像分类</w:t>
            </w:r>
          </w:p>
        </w:tc>
        <w:tc>
          <w:tcPr>
            <w:tcW w:w="1100" w:type="dxa"/>
            <w:tcMar>
              <w:top w:w="100" w:type="dxa"/>
              <w:left w:w="100" w:type="dxa"/>
              <w:bottom w:w="100" w:type="dxa"/>
              <w:right w:w="100" w:type="dxa"/>
            </w:tcMar>
            <w:vAlign w:val="center"/>
          </w:tcPr>
          <w:p w14:paraId="54CE0549">
            <w:pPr>
              <w:pStyle w:val="171"/>
              <w:jc w:val="left"/>
            </w:pPr>
            <w:r>
              <w:rPr>
                <w:rFonts w:ascii="Times New Roman" w:hAnsi="Times New Roman" w:eastAsia="Songti SC" w:cs="Times New Roman"/>
                <w:b w:val="0"/>
                <w:sz w:val="16"/>
              </w:rPr>
              <w:t>理解图像增广的作用边界、训练与预测阶段的数据变换差异，以及预训练特征、迁移学习、分类头替换、参数冻结和差分学习率的基本原理。</w:t>
            </w:r>
          </w:p>
        </w:tc>
        <w:tc>
          <w:tcPr>
            <w:tcW w:w="1150" w:type="dxa"/>
            <w:tcMar>
              <w:top w:w="100" w:type="dxa"/>
              <w:left w:w="100" w:type="dxa"/>
              <w:bottom w:w="100" w:type="dxa"/>
              <w:right w:w="100" w:type="dxa"/>
            </w:tcMar>
            <w:vAlign w:val="center"/>
          </w:tcPr>
          <w:p w14:paraId="3CCD7885">
            <w:pPr>
              <w:pStyle w:val="171"/>
              <w:jc w:val="left"/>
            </w:pPr>
            <w:r>
              <w:rPr>
                <w:rFonts w:ascii="Times New Roman" w:hAnsi="Times New Roman" w:eastAsia="Songti SC" w:cs="Times New Roman"/>
                <w:b w:val="0"/>
                <w:sz w:val="16"/>
              </w:rPr>
              <w:t>能构建可复现的图像增广流水线，加载预训练视觉模型完成微调，比较从头训练与迁移学习，并依据曲线、错误样本和资源指标解释结果。</w:t>
            </w:r>
          </w:p>
        </w:tc>
        <w:tc>
          <w:tcPr>
            <w:tcW w:w="2030" w:type="dxa"/>
            <w:tcMar>
              <w:top w:w="100" w:type="dxa"/>
              <w:left w:w="100" w:type="dxa"/>
              <w:bottom w:w="100" w:type="dxa"/>
              <w:right w:w="100" w:type="dxa"/>
            </w:tcMar>
            <w:vAlign w:val="center"/>
          </w:tcPr>
          <w:p w14:paraId="6DA01AA2">
            <w:pPr>
              <w:pStyle w:val="171"/>
              <w:jc w:val="left"/>
            </w:pPr>
            <w:r>
              <w:rPr>
                <w:rFonts w:ascii="Times New Roman" w:hAnsi="Times New Roman" w:eastAsia="Songti SC" w:cs="Times New Roman"/>
                <w:b w:val="0"/>
                <w:sz w:val="16"/>
              </w:rPr>
              <w:t>完成“有限样本图像分类”项目：数据审计、增广对照、预训练模型微调、冻结/解冻比较、错误样本分析和模型卡。</w:t>
            </w:r>
          </w:p>
        </w:tc>
        <w:tc>
          <w:tcPr>
            <w:tcW w:w="620" w:type="dxa"/>
            <w:tcMar>
              <w:top w:w="100" w:type="dxa"/>
              <w:left w:w="100" w:type="dxa"/>
              <w:bottom w:w="100" w:type="dxa"/>
              <w:right w:w="100" w:type="dxa"/>
            </w:tcMar>
            <w:vAlign w:val="center"/>
          </w:tcPr>
          <w:p w14:paraId="130BEBD1">
            <w:pPr>
              <w:pStyle w:val="171"/>
              <w:jc w:val="center"/>
              <w:rPr>
                <w:rFonts w:hint="default" w:eastAsia="Songti SC"/>
                <w:lang w:val="en-US" w:eastAsia="zh-CN"/>
              </w:rPr>
            </w:pPr>
            <w:r>
              <w:rPr>
                <w:rFonts w:hint="eastAsia"/>
                <w:lang w:val="en-US" w:eastAsia="zh-CN"/>
              </w:rPr>
              <w:t>4</w:t>
            </w:r>
          </w:p>
        </w:tc>
        <w:tc>
          <w:tcPr>
            <w:tcW w:w="600" w:type="dxa"/>
            <w:tcMar>
              <w:top w:w="100" w:type="dxa"/>
              <w:left w:w="100" w:type="dxa"/>
              <w:bottom w:w="100" w:type="dxa"/>
              <w:right w:w="100" w:type="dxa"/>
            </w:tcMar>
            <w:vAlign w:val="center"/>
          </w:tcPr>
          <w:p w14:paraId="2840BC35">
            <w:pPr>
              <w:pStyle w:val="171"/>
              <w:keepNext w:val="0"/>
              <w:keepLines w:val="0"/>
              <w:jc w:val="left"/>
              <w:rPr>
                <w:rFonts w:hint="default" w:eastAsia="Songti SC"/>
                <w:lang w:val="en-US" w:eastAsia="zh-CN"/>
              </w:rPr>
            </w:pPr>
            <w:r>
              <w:rPr>
                <w:rFonts w:hint="eastAsia"/>
                <w:lang w:val="en-US" w:eastAsia="zh-CN"/>
              </w:rPr>
              <w:t>4</w:t>
            </w:r>
          </w:p>
        </w:tc>
      </w:tr>
      <w:tr w14:paraId="2A9BAA7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0" w:type="dxa"/>
            <w:tcMar>
              <w:top w:w="100" w:type="dxa"/>
              <w:left w:w="100" w:type="dxa"/>
              <w:bottom w:w="100" w:type="dxa"/>
              <w:right w:w="100" w:type="dxa"/>
            </w:tcMar>
            <w:vAlign w:val="center"/>
          </w:tcPr>
          <w:p w14:paraId="25303A8A">
            <w:pPr>
              <w:pStyle w:val="171"/>
              <w:jc w:val="center"/>
            </w:pPr>
            <w:r>
              <w:rPr>
                <w:rFonts w:ascii="Times New Roman" w:hAnsi="Times New Roman" w:eastAsia="Songti SC" w:cs="Times New Roman"/>
                <w:b w:val="0"/>
                <w:sz w:val="16"/>
              </w:rPr>
              <w:t>M7</w:t>
            </w:r>
            <w:r>
              <w:br w:type="textWrapping"/>
            </w:r>
            <w:r>
              <w:rPr>
                <w:rFonts w:ascii="Times New Roman" w:hAnsi="Times New Roman" w:eastAsia="Songti SC" w:cs="Times New Roman"/>
                <w:b w:val="0"/>
                <w:sz w:val="16"/>
              </w:rPr>
              <w:t>目标检测与语义分割基础应用</w:t>
            </w:r>
          </w:p>
        </w:tc>
        <w:tc>
          <w:tcPr>
            <w:tcW w:w="1820" w:type="dxa"/>
            <w:tcMar>
              <w:top w:w="100" w:type="dxa"/>
              <w:left w:w="100" w:type="dxa"/>
              <w:bottom w:w="100" w:type="dxa"/>
              <w:right w:w="100" w:type="dxa"/>
            </w:tcMar>
            <w:vAlign w:val="center"/>
          </w:tcPr>
          <w:p w14:paraId="4FC470C5">
            <w:pPr>
              <w:pStyle w:val="171"/>
              <w:jc w:val="left"/>
            </w:pPr>
            <w:r>
              <w:rPr>
                <w:rFonts w:ascii="Times New Roman" w:hAnsi="Times New Roman" w:eastAsia="Songti SC" w:cs="Times New Roman"/>
                <w:b w:val="0"/>
                <w:sz w:val="16"/>
              </w:rPr>
              <w:t>计算机视觉应用（二）</w:t>
            </w:r>
            <w:r>
              <w:br w:type="textWrapping"/>
            </w:r>
            <w:r>
              <w:rPr>
                <w:rFonts w:ascii="Times New Roman" w:hAnsi="Times New Roman" w:eastAsia="Songti SC" w:cs="Times New Roman"/>
                <w:b w:val="0"/>
                <w:sz w:val="16"/>
              </w:rPr>
              <w:t>边界框；交并比；锚框；标注分配；偏移量；非极大值抑制；多尺度检测；SSD流程；语义分割；转置卷积；全卷积网络</w:t>
            </w:r>
          </w:p>
        </w:tc>
        <w:tc>
          <w:tcPr>
            <w:tcW w:w="1100" w:type="dxa"/>
            <w:tcMar>
              <w:top w:w="100" w:type="dxa"/>
              <w:left w:w="100" w:type="dxa"/>
              <w:bottom w:w="100" w:type="dxa"/>
              <w:right w:w="100" w:type="dxa"/>
            </w:tcMar>
            <w:vAlign w:val="center"/>
          </w:tcPr>
          <w:p w14:paraId="08C80B15">
            <w:pPr>
              <w:pStyle w:val="171"/>
              <w:jc w:val="left"/>
            </w:pPr>
            <w:r>
              <w:rPr>
                <w:rFonts w:ascii="Times New Roman" w:hAnsi="Times New Roman" w:eastAsia="Songti SC" w:cs="Times New Roman"/>
                <w:b w:val="0"/>
                <w:sz w:val="16"/>
              </w:rPr>
              <w:t>理解目标定位、类别预测、边界框格式、交并比、锚框匹配与非极大值抑制；理解像素级语义分割、转置卷积和全卷积网络的基础数据流。</w:t>
            </w:r>
          </w:p>
        </w:tc>
        <w:tc>
          <w:tcPr>
            <w:tcW w:w="1150" w:type="dxa"/>
            <w:tcMar>
              <w:top w:w="100" w:type="dxa"/>
              <w:left w:w="100" w:type="dxa"/>
              <w:bottom w:w="100" w:type="dxa"/>
              <w:right w:w="100" w:type="dxa"/>
            </w:tcMar>
            <w:vAlign w:val="center"/>
          </w:tcPr>
          <w:p w14:paraId="3F8A2146">
            <w:pPr>
              <w:pStyle w:val="171"/>
              <w:jc w:val="left"/>
            </w:pPr>
            <w:r>
              <w:rPr>
                <w:rFonts w:ascii="Times New Roman" w:hAnsi="Times New Roman" w:eastAsia="Songti SC" w:cs="Times New Roman"/>
                <w:b w:val="0"/>
                <w:sz w:val="16"/>
              </w:rPr>
              <w:t>能读取并检查检测/分割标注，完成边界框与掩膜可视化，调用或组装基础检测与分割流程，计算核心指标并分析漏检、误检和边界误差。</w:t>
            </w:r>
          </w:p>
        </w:tc>
        <w:tc>
          <w:tcPr>
            <w:tcW w:w="2030" w:type="dxa"/>
            <w:tcMar>
              <w:top w:w="100" w:type="dxa"/>
              <w:left w:w="100" w:type="dxa"/>
              <w:bottom w:w="100" w:type="dxa"/>
              <w:right w:w="100" w:type="dxa"/>
            </w:tcMar>
            <w:vAlign w:val="center"/>
          </w:tcPr>
          <w:p w14:paraId="26783E5E">
            <w:pPr>
              <w:pStyle w:val="171"/>
              <w:jc w:val="left"/>
            </w:pPr>
            <w:r>
              <w:rPr>
                <w:rFonts w:ascii="Times New Roman" w:hAnsi="Times New Roman" w:eastAsia="Songti SC" w:cs="Times New Roman"/>
                <w:b w:val="0"/>
                <w:sz w:val="16"/>
              </w:rPr>
              <w:t>完成“看见位置与区域”应用项目：边界框工具、IoU/NMS测试、简化SSD推理或训练、图像—掩膜式分割数据管道、FCN基础实验和风险报告。</w:t>
            </w:r>
          </w:p>
        </w:tc>
        <w:tc>
          <w:tcPr>
            <w:tcW w:w="620" w:type="dxa"/>
            <w:tcMar>
              <w:top w:w="100" w:type="dxa"/>
              <w:left w:w="100" w:type="dxa"/>
              <w:bottom w:w="100" w:type="dxa"/>
              <w:right w:w="100" w:type="dxa"/>
            </w:tcMar>
            <w:vAlign w:val="center"/>
          </w:tcPr>
          <w:p w14:paraId="704F5FF3">
            <w:pPr>
              <w:pStyle w:val="171"/>
              <w:jc w:val="center"/>
              <w:rPr>
                <w:rFonts w:hint="default" w:eastAsia="Songti SC"/>
                <w:lang w:val="en-US" w:eastAsia="zh-CN"/>
              </w:rPr>
            </w:pPr>
            <w:r>
              <w:rPr>
                <w:rFonts w:hint="eastAsia"/>
                <w:lang w:val="en-US" w:eastAsia="zh-CN"/>
              </w:rPr>
              <w:t>3</w:t>
            </w:r>
          </w:p>
        </w:tc>
        <w:tc>
          <w:tcPr>
            <w:tcW w:w="600" w:type="dxa"/>
            <w:tcMar>
              <w:top w:w="100" w:type="dxa"/>
              <w:left w:w="100" w:type="dxa"/>
              <w:bottom w:w="100" w:type="dxa"/>
              <w:right w:w="100" w:type="dxa"/>
            </w:tcMar>
            <w:vAlign w:val="center"/>
          </w:tcPr>
          <w:p w14:paraId="6478E881">
            <w:pPr>
              <w:pStyle w:val="171"/>
              <w:keepNext w:val="0"/>
              <w:keepLines w:val="0"/>
              <w:jc w:val="left"/>
              <w:rPr>
                <w:rFonts w:hint="default" w:eastAsia="Songti SC"/>
                <w:lang w:val="en-US" w:eastAsia="zh-CN"/>
              </w:rPr>
            </w:pPr>
            <w:r>
              <w:rPr>
                <w:rFonts w:hint="eastAsia"/>
                <w:lang w:val="en-US" w:eastAsia="zh-CN"/>
              </w:rPr>
              <w:t>3</w:t>
            </w:r>
          </w:p>
        </w:tc>
      </w:tr>
      <w:tr w14:paraId="3E88916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0" w:type="dxa"/>
            <w:tcMar>
              <w:top w:w="100" w:type="dxa"/>
              <w:left w:w="100" w:type="dxa"/>
              <w:bottom w:w="100" w:type="dxa"/>
              <w:right w:w="100" w:type="dxa"/>
            </w:tcMar>
            <w:vAlign w:val="center"/>
          </w:tcPr>
          <w:p w14:paraId="53D0F2A2">
            <w:pPr>
              <w:pStyle w:val="171"/>
              <w:jc w:val="center"/>
            </w:pPr>
            <w:r>
              <w:rPr>
                <w:rFonts w:ascii="Times New Roman" w:hAnsi="Times New Roman" w:eastAsia="Songti SC" w:cs="Times New Roman"/>
                <w:b w:val="0"/>
                <w:sz w:val="16"/>
              </w:rPr>
              <w:t>M8</w:t>
            </w:r>
            <w:r>
              <w:br w:type="textWrapping"/>
            </w:r>
            <w:r>
              <w:rPr>
                <w:rFonts w:ascii="Times New Roman" w:hAnsi="Times New Roman" w:eastAsia="Songti SC" w:cs="Times New Roman"/>
                <w:b w:val="0"/>
                <w:sz w:val="16"/>
              </w:rPr>
              <w:t>词嵌入与预训练词向量应用</w:t>
            </w:r>
          </w:p>
        </w:tc>
        <w:tc>
          <w:tcPr>
            <w:tcW w:w="1820" w:type="dxa"/>
            <w:tcMar>
              <w:top w:w="100" w:type="dxa"/>
              <w:left w:w="100" w:type="dxa"/>
              <w:bottom w:w="100" w:type="dxa"/>
              <w:right w:w="100" w:type="dxa"/>
            </w:tcMar>
            <w:vAlign w:val="center"/>
          </w:tcPr>
          <w:p w14:paraId="13897E5F">
            <w:pPr>
              <w:pStyle w:val="171"/>
              <w:jc w:val="left"/>
            </w:pPr>
            <w:r>
              <w:rPr>
                <w:rFonts w:ascii="Times New Roman" w:hAnsi="Times New Roman" w:eastAsia="Songti SC" w:cs="Times New Roman"/>
                <w:b w:val="0"/>
                <w:sz w:val="16"/>
              </w:rPr>
              <w:t>文本预训练表示（一）</w:t>
            </w:r>
            <w:r>
              <w:br w:type="textWrapping"/>
            </w:r>
            <w:r>
              <w:rPr>
                <w:rFonts w:ascii="Times New Roman" w:hAnsi="Times New Roman" w:eastAsia="Songti SC" w:cs="Times New Roman"/>
                <w:b w:val="0"/>
                <w:sz w:val="16"/>
              </w:rPr>
              <w:t>独热表示局限；Skip-Gram；CBOW；负采样；词嵌入数据管道；预训练词向量；相似度与类比；fastText；字节对编码</w:t>
            </w:r>
          </w:p>
        </w:tc>
        <w:tc>
          <w:tcPr>
            <w:tcW w:w="1100" w:type="dxa"/>
            <w:tcMar>
              <w:top w:w="100" w:type="dxa"/>
              <w:left w:w="100" w:type="dxa"/>
              <w:bottom w:w="100" w:type="dxa"/>
              <w:right w:w="100" w:type="dxa"/>
            </w:tcMar>
            <w:vAlign w:val="center"/>
          </w:tcPr>
          <w:p w14:paraId="3D4CA66E">
            <w:pPr>
              <w:pStyle w:val="171"/>
              <w:jc w:val="left"/>
            </w:pPr>
            <w:r>
              <w:rPr>
                <w:rFonts w:ascii="Times New Roman" w:hAnsi="Times New Roman" w:eastAsia="Songti SC" w:cs="Times New Roman"/>
                <w:b w:val="0"/>
                <w:sz w:val="16"/>
              </w:rPr>
              <w:t>理解分布式词表示、Skip-Gram与CBOW目标、负采样的基本思想，以及预训练词向量、子词表示和字节对编码的用途与边界。</w:t>
            </w:r>
          </w:p>
        </w:tc>
        <w:tc>
          <w:tcPr>
            <w:tcW w:w="1150" w:type="dxa"/>
            <w:tcMar>
              <w:top w:w="100" w:type="dxa"/>
              <w:left w:w="100" w:type="dxa"/>
              <w:bottom w:w="100" w:type="dxa"/>
              <w:right w:w="100" w:type="dxa"/>
            </w:tcMar>
            <w:vAlign w:val="center"/>
          </w:tcPr>
          <w:p w14:paraId="3B51E313">
            <w:pPr>
              <w:pStyle w:val="171"/>
              <w:jc w:val="left"/>
            </w:pPr>
            <w:r>
              <w:rPr>
                <w:rFonts w:ascii="Times New Roman" w:hAnsi="Times New Roman" w:eastAsia="Songti SC" w:cs="Times New Roman"/>
                <w:b w:val="0"/>
                <w:sz w:val="16"/>
              </w:rPr>
              <w:t>能构建中心词—上下文训练样本，使用嵌入层完成小型词向量实验，加载预训练词向量开展相似度、类比和词表外问题分析。</w:t>
            </w:r>
          </w:p>
        </w:tc>
        <w:tc>
          <w:tcPr>
            <w:tcW w:w="2030" w:type="dxa"/>
            <w:tcMar>
              <w:top w:w="100" w:type="dxa"/>
              <w:left w:w="100" w:type="dxa"/>
              <w:bottom w:w="100" w:type="dxa"/>
              <w:right w:w="100" w:type="dxa"/>
            </w:tcMar>
            <w:vAlign w:val="center"/>
          </w:tcPr>
          <w:p w14:paraId="4EE07150">
            <w:pPr>
              <w:pStyle w:val="171"/>
              <w:jc w:val="left"/>
            </w:pPr>
            <w:r>
              <w:rPr>
                <w:rFonts w:ascii="Times New Roman" w:hAnsi="Times New Roman" w:eastAsia="Songti SC" w:cs="Times New Roman"/>
                <w:b w:val="0"/>
                <w:sz w:val="16"/>
              </w:rPr>
              <w:t>完成“词语表示实验室”：语料预处理、负采样数据检查、小型Skip-Gram训练、预训练向量检索、相似度/类比评测和词表外分析。</w:t>
            </w:r>
          </w:p>
        </w:tc>
        <w:tc>
          <w:tcPr>
            <w:tcW w:w="620" w:type="dxa"/>
            <w:tcMar>
              <w:top w:w="100" w:type="dxa"/>
              <w:left w:w="100" w:type="dxa"/>
              <w:bottom w:w="100" w:type="dxa"/>
              <w:right w:w="100" w:type="dxa"/>
            </w:tcMar>
            <w:vAlign w:val="center"/>
          </w:tcPr>
          <w:p w14:paraId="3A33FC86">
            <w:pPr>
              <w:pStyle w:val="171"/>
              <w:jc w:val="center"/>
              <w:rPr>
                <w:rFonts w:hint="eastAsia" w:eastAsia="Songti SC"/>
                <w:lang w:val="en-US" w:eastAsia="zh-CN"/>
              </w:rPr>
            </w:pPr>
            <w:r>
              <w:rPr>
                <w:rFonts w:hint="eastAsia"/>
                <w:lang w:val="en-US" w:eastAsia="zh-CN"/>
              </w:rPr>
              <w:t>3</w:t>
            </w:r>
          </w:p>
        </w:tc>
        <w:tc>
          <w:tcPr>
            <w:tcW w:w="600" w:type="dxa"/>
            <w:tcMar>
              <w:top w:w="100" w:type="dxa"/>
              <w:left w:w="100" w:type="dxa"/>
              <w:bottom w:w="100" w:type="dxa"/>
              <w:right w:w="100" w:type="dxa"/>
            </w:tcMar>
            <w:vAlign w:val="center"/>
          </w:tcPr>
          <w:p w14:paraId="0F4936D6">
            <w:pPr>
              <w:pStyle w:val="171"/>
              <w:keepNext w:val="0"/>
              <w:keepLines w:val="0"/>
              <w:jc w:val="left"/>
              <w:rPr>
                <w:rFonts w:hint="eastAsia" w:eastAsia="Songti SC"/>
                <w:lang w:val="en-US" w:eastAsia="zh-CN"/>
              </w:rPr>
            </w:pPr>
            <w:r>
              <w:rPr>
                <w:rFonts w:hint="eastAsia"/>
                <w:lang w:val="en-US" w:eastAsia="zh-CN"/>
              </w:rPr>
              <w:t>3</w:t>
            </w:r>
          </w:p>
        </w:tc>
      </w:tr>
      <w:tr w14:paraId="6F986C4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80" w:type="dxa"/>
            <w:tcMar>
              <w:top w:w="100" w:type="dxa"/>
              <w:left w:w="100" w:type="dxa"/>
              <w:bottom w:w="100" w:type="dxa"/>
              <w:right w:w="100" w:type="dxa"/>
            </w:tcMar>
            <w:vAlign w:val="center"/>
          </w:tcPr>
          <w:p w14:paraId="779F804F">
            <w:pPr>
              <w:pStyle w:val="171"/>
              <w:jc w:val="center"/>
            </w:pPr>
            <w:r>
              <w:rPr>
                <w:rFonts w:ascii="Times New Roman" w:hAnsi="Times New Roman" w:eastAsia="Songti SC" w:cs="Times New Roman"/>
                <w:b w:val="0"/>
                <w:sz w:val="16"/>
              </w:rPr>
              <w:t>M9</w:t>
            </w:r>
            <w:r>
              <w:br w:type="textWrapping"/>
            </w:r>
            <w:r>
              <w:rPr>
                <w:rFonts w:ascii="Times New Roman" w:hAnsi="Times New Roman" w:eastAsia="Songti SC" w:cs="Times New Roman"/>
                <w:b w:val="0"/>
                <w:sz w:val="16"/>
              </w:rPr>
              <w:t>BERT预训练与上下文表示基础</w:t>
            </w:r>
          </w:p>
        </w:tc>
        <w:tc>
          <w:tcPr>
            <w:tcW w:w="1820" w:type="dxa"/>
            <w:tcMar>
              <w:top w:w="100" w:type="dxa"/>
              <w:left w:w="100" w:type="dxa"/>
              <w:bottom w:w="100" w:type="dxa"/>
              <w:right w:w="100" w:type="dxa"/>
            </w:tcMar>
            <w:vAlign w:val="center"/>
          </w:tcPr>
          <w:p w14:paraId="4B214A5A">
            <w:pPr>
              <w:pStyle w:val="171"/>
              <w:jc w:val="left"/>
            </w:pPr>
            <w:r>
              <w:rPr>
                <w:rFonts w:ascii="Times New Roman" w:hAnsi="Times New Roman" w:eastAsia="Songti SC" w:cs="Times New Roman"/>
                <w:b w:val="0"/>
                <w:sz w:val="16"/>
              </w:rPr>
              <w:t>文本预训练表示（二）</w:t>
            </w:r>
            <w:r>
              <w:br w:type="textWrapping"/>
            </w:r>
            <w:r>
              <w:rPr>
                <w:rFonts w:ascii="Times New Roman" w:hAnsi="Times New Roman" w:eastAsia="Songti SC" w:cs="Times New Roman"/>
                <w:b w:val="0"/>
                <w:sz w:val="16"/>
              </w:rPr>
              <w:t>上下文相关表示；BERT输入；词元/片段/位置嵌入；编码器接口；掩蔽语言模型；下一句预测；预训练数据；上下文向量提取</w:t>
            </w:r>
          </w:p>
        </w:tc>
        <w:tc>
          <w:tcPr>
            <w:tcW w:w="1100" w:type="dxa"/>
            <w:tcMar>
              <w:top w:w="100" w:type="dxa"/>
              <w:left w:w="100" w:type="dxa"/>
              <w:bottom w:w="100" w:type="dxa"/>
              <w:right w:w="100" w:type="dxa"/>
            </w:tcMar>
            <w:vAlign w:val="center"/>
          </w:tcPr>
          <w:p w14:paraId="2D63C2AE">
            <w:pPr>
              <w:pStyle w:val="171"/>
              <w:jc w:val="left"/>
            </w:pPr>
            <w:r>
              <w:rPr>
                <w:rFonts w:ascii="Times New Roman" w:hAnsi="Times New Roman" w:eastAsia="Songti SC" w:cs="Times New Roman"/>
                <w:b w:val="0"/>
                <w:sz w:val="16"/>
              </w:rPr>
              <w:t>理解静态与上下文词表示的差异，掌握BERT输入构造、掩蔽语言模型、下一句预测和预训练数据生成的基础逻辑。</w:t>
            </w:r>
          </w:p>
        </w:tc>
        <w:tc>
          <w:tcPr>
            <w:tcW w:w="1150" w:type="dxa"/>
            <w:tcMar>
              <w:top w:w="100" w:type="dxa"/>
              <w:left w:w="100" w:type="dxa"/>
              <w:bottom w:w="100" w:type="dxa"/>
              <w:right w:w="100" w:type="dxa"/>
            </w:tcMar>
            <w:vAlign w:val="center"/>
          </w:tcPr>
          <w:p w14:paraId="09B48905">
            <w:pPr>
              <w:pStyle w:val="171"/>
              <w:jc w:val="left"/>
            </w:pPr>
            <w:r>
              <w:rPr>
                <w:rFonts w:ascii="Times New Roman" w:hAnsi="Times New Roman" w:eastAsia="Songti SC" w:cs="Times New Roman"/>
                <w:b w:val="0"/>
                <w:sz w:val="16"/>
              </w:rPr>
              <w:t>能构造BERT样本与有效长度，使用教师提供的小型或预训练BERT提取上下文表示，检查掩蔽预测并分析同词异义的表示差异。</w:t>
            </w:r>
          </w:p>
        </w:tc>
        <w:tc>
          <w:tcPr>
            <w:tcW w:w="2030" w:type="dxa"/>
            <w:tcMar>
              <w:top w:w="100" w:type="dxa"/>
              <w:left w:w="100" w:type="dxa"/>
              <w:bottom w:w="100" w:type="dxa"/>
              <w:right w:w="100" w:type="dxa"/>
            </w:tcMar>
            <w:vAlign w:val="center"/>
          </w:tcPr>
          <w:p w14:paraId="216B1C31">
            <w:pPr>
              <w:pStyle w:val="171"/>
              <w:jc w:val="left"/>
            </w:pPr>
            <w:r>
              <w:rPr>
                <w:rFonts w:ascii="Times New Roman" w:hAnsi="Times New Roman" w:eastAsia="Songti SC" w:cs="Times New Roman"/>
                <w:b w:val="0"/>
                <w:sz w:val="16"/>
              </w:rPr>
              <w:t>完成“上下文表示观察站”：BERT输入构造、MLM/NSP样本检查、小模型运行、掩蔽词预测、上下文向量对比和模型说明卡。</w:t>
            </w:r>
          </w:p>
        </w:tc>
        <w:tc>
          <w:tcPr>
            <w:tcW w:w="620" w:type="dxa"/>
            <w:tcMar>
              <w:top w:w="100" w:type="dxa"/>
              <w:left w:w="100" w:type="dxa"/>
              <w:bottom w:w="100" w:type="dxa"/>
              <w:right w:w="100" w:type="dxa"/>
            </w:tcMar>
            <w:vAlign w:val="center"/>
          </w:tcPr>
          <w:p w14:paraId="0BED668B">
            <w:pPr>
              <w:pStyle w:val="171"/>
              <w:jc w:val="center"/>
              <w:rPr>
                <w:rFonts w:hint="eastAsia" w:eastAsia="Songti SC"/>
                <w:lang w:val="en-US" w:eastAsia="zh-CN"/>
              </w:rPr>
            </w:pPr>
            <w:r>
              <w:rPr>
                <w:rFonts w:hint="eastAsia"/>
                <w:lang w:val="en-US" w:eastAsia="zh-CN"/>
              </w:rPr>
              <w:t>3</w:t>
            </w:r>
          </w:p>
        </w:tc>
        <w:tc>
          <w:tcPr>
            <w:tcW w:w="600" w:type="dxa"/>
            <w:tcMar>
              <w:top w:w="100" w:type="dxa"/>
              <w:left w:w="100" w:type="dxa"/>
              <w:bottom w:w="100" w:type="dxa"/>
              <w:right w:w="100" w:type="dxa"/>
            </w:tcMar>
            <w:vAlign w:val="center"/>
          </w:tcPr>
          <w:p w14:paraId="71DC8A6B">
            <w:pPr>
              <w:pStyle w:val="171"/>
              <w:jc w:val="center"/>
              <w:rPr>
                <w:rFonts w:hint="eastAsia" w:eastAsia="Songti SC"/>
                <w:lang w:val="en-US" w:eastAsia="zh-CN"/>
              </w:rPr>
            </w:pPr>
            <w:r>
              <w:rPr>
                <w:rFonts w:hint="eastAsia"/>
                <w:lang w:val="en-US" w:eastAsia="zh-CN"/>
              </w:rPr>
              <w:t>3</w:t>
            </w:r>
          </w:p>
        </w:tc>
      </w:tr>
      <w:tr w14:paraId="2CA9FE65">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080" w:type="dxa"/>
            <w:gridSpan w:val="5"/>
            <w:shd w:val="clear" w:color="auto" w:fill="F7F7F7"/>
            <w:tcMar>
              <w:top w:w="100" w:type="dxa"/>
              <w:left w:w="100" w:type="dxa"/>
              <w:bottom w:w="100" w:type="dxa"/>
              <w:right w:w="100" w:type="dxa"/>
            </w:tcMar>
            <w:vAlign w:val="center"/>
          </w:tcPr>
          <w:p w14:paraId="3383ECCA">
            <w:pPr>
              <w:pStyle w:val="171"/>
              <w:keepNext w:val="0"/>
              <w:keepLines w:val="0"/>
              <w:jc w:val="left"/>
            </w:pPr>
            <w:r>
              <w:rPr>
                <w:rFonts w:ascii="Times New Roman" w:hAnsi="Times New Roman" w:eastAsia="Songti SC" w:cs="Times New Roman"/>
                <w:b w:val="0"/>
                <w:sz w:val="17"/>
              </w:rPr>
              <w:t>课程总学时</w:t>
            </w:r>
          </w:p>
        </w:tc>
        <w:tc>
          <w:tcPr>
            <w:tcW w:w="620" w:type="dxa"/>
            <w:shd w:val="clear" w:color="auto" w:fill="F7F7F7"/>
            <w:tcMar>
              <w:top w:w="100" w:type="dxa"/>
              <w:left w:w="100" w:type="dxa"/>
              <w:bottom w:w="100" w:type="dxa"/>
              <w:right w:w="100" w:type="dxa"/>
            </w:tcMar>
            <w:vAlign w:val="center"/>
          </w:tcPr>
          <w:p w14:paraId="653E8AF3">
            <w:pPr>
              <w:pStyle w:val="171"/>
              <w:jc w:val="center"/>
              <w:rPr>
                <w:rFonts w:hint="default" w:eastAsia="Songti SC"/>
                <w:lang w:val="en-US" w:eastAsia="zh-CN"/>
              </w:rPr>
            </w:pPr>
            <w:r>
              <w:rPr>
                <w:rFonts w:hint="eastAsia"/>
                <w:lang w:val="en-US" w:eastAsia="zh-CN"/>
              </w:rPr>
              <w:t>32</w:t>
            </w:r>
          </w:p>
        </w:tc>
        <w:tc>
          <w:tcPr>
            <w:tcW w:w="600" w:type="dxa"/>
            <w:shd w:val="clear" w:color="auto" w:fill="F7F7F7"/>
            <w:tcMar>
              <w:top w:w="100" w:type="dxa"/>
              <w:left w:w="100" w:type="dxa"/>
              <w:bottom w:w="100" w:type="dxa"/>
              <w:right w:w="100" w:type="dxa"/>
            </w:tcMar>
            <w:vAlign w:val="center"/>
          </w:tcPr>
          <w:p w14:paraId="216FA8A9">
            <w:pPr>
              <w:pStyle w:val="171"/>
              <w:keepNext w:val="0"/>
              <w:keepLines w:val="0"/>
              <w:jc w:val="left"/>
              <w:rPr>
                <w:rFonts w:hint="default" w:eastAsia="Songti SC"/>
                <w:lang w:val="en-US" w:eastAsia="zh-CN"/>
              </w:rPr>
            </w:pPr>
            <w:r>
              <w:rPr>
                <w:rFonts w:hint="eastAsia"/>
                <w:lang w:val="en-US" w:eastAsia="zh-CN"/>
              </w:rPr>
              <w:t>32</w:t>
            </w:r>
          </w:p>
        </w:tc>
      </w:tr>
    </w:tbl>
    <w:p w14:paraId="6C00AE9C">
      <w:pPr>
        <w:pStyle w:val="167"/>
      </w:pPr>
      <w:r>
        <w:t>（一）M1 深度学习预备知识与 PyTorch 基础（数据、数学与自动微分基础）</w:t>
      </w:r>
    </w:p>
    <w:p w14:paraId="5E65B38A">
      <w:pPr>
        <w:pStyle w:val="165"/>
      </w:pPr>
      <w:r>
        <w:t>本模块安排3学时理论、</w:t>
      </w:r>
      <w:r>
        <w:rPr>
          <w:rFonts w:hint="eastAsia"/>
          <w:lang w:val="en-US" w:eastAsia="zh-CN"/>
        </w:rPr>
        <w:t>3</w:t>
      </w:r>
      <w:r>
        <w:t>学时实操。主要专题为：张量与广播；数据预处理；线性代数；微积分与链式法则；自动微分；概率；文档检索。核心学习任务为：完成“张量—数据—梯度”基础实验包：张量操作清单、微型结构化数据数据清洗、自动微分校验、概率采样与 API 检索记录。</w:t>
      </w:r>
    </w:p>
    <w:p w14:paraId="409FD02E">
      <w:pPr>
        <w:pStyle w:val="168"/>
      </w:pPr>
      <w:r>
        <w:t>1. 教学定位与任务情境</w:t>
      </w:r>
    </w:p>
    <w:p w14:paraId="0EDF155C">
      <w:pPr>
        <w:pStyle w:val="164"/>
      </w:pPr>
      <w:r>
        <w:t>本模块是后续所有模型训练的共同底座，不把数学知识处理成与编程割裂的公式清单，而是要求学生在同一个 Notebook 中把“概念—计算—代码—验证”连成闭环。任务情境设定为接收一份字段混杂、含缺失值的微型业务数据，学生需要先识别数据类型与质量问题，再使用张量组织数据，利用线性代数表达批量运算，借助自动微分验证梯度，最后用概率模拟解释样本波动。教师在教学中持续追问每一个轴代表什么、广播为何成立、梯度对应哪个变量、采样结果为何不等于理论概率，使学生从会调用函数提升到能说明计算语义。模块结束时，学生应具备阅读形状、判断设备和数据类型、预测输出、检查异常值以及查阅 API 文档的基本能力，为后续回归、分类、卷积和序列建模减少低层错误。</w:t>
      </w:r>
    </w:p>
    <w:p w14:paraId="327DED4D">
      <w:pPr>
        <w:pStyle w:val="168"/>
      </w:pPr>
      <w:r>
        <w:t>2. 知识内容与理解要求</w:t>
      </w:r>
    </w:p>
    <w:p w14:paraId="48EE60E5">
      <w:pPr>
        <w:pStyle w:val="164"/>
      </w:pPr>
      <w:r>
        <w:t>张量部分覆盖创建、形状、元素总数、重塑、拼接、索引、切片、按元素运算、广播、原地更新以及与 NumPy 和 Python 标量之间的转换，重点解释批量维、特征维、通道维和序列维的区别。数据预处理部分要求使用 pandas 读取表格，区分数值特征与类别特征，对缺失值采取均值填补、显式缺失类别或删除等策略，并说明每种策略隐含的统计假设。线性代数部分包括标量、向量、矩阵与高阶张量，降维求和、Hadamard 积、点积、矩阵—向量积、矩阵乘法以及 L1、L2 和 Frobenius 范数；学习要求不是机械背诵，而是能把公式中的求和轴映射到代码维度。微积分部分覆盖导数、偏导数、梯度和链式法则，结合函数图像理解梯度方向和局部变化率。自动微分部分覆盖计算图、反向传播、梯度累积、非标量变量求导、detach 分离计算和控制流求导。概率部分覆盖随机变量、分布与采样、联合概率、条件概率、贝叶斯定理、边缘化、独立性、期望和方差，并用低基准率案例强调先验信息。</w:t>
      </w:r>
    </w:p>
    <w:p w14:paraId="3A0AAA5F">
      <w:pPr>
        <w:pStyle w:val="168"/>
      </w:pPr>
      <w:r>
        <w:t>3. 实践流程与能力要求</w:t>
      </w:r>
    </w:p>
    <w:p w14:paraId="2ADE606D">
      <w:pPr>
        <w:pStyle w:val="164"/>
      </w:pPr>
      <w:r>
        <w:t>实践一要求学生创建不同阶数的张量，先在实验单上写出输入形状、广播后的目标形状和预期结果，再运行代码并用断言检查。实践二构造包含数值缺失、类别缺失和无效值的 微型业务表格 数据，学生提交处理前后对照表、字段数据字典以及转为浮点张量的代码。实践三选择二次函数和向量二次型，分别进行手工求导、有限差分近似与自动微分验证，必须展示清零梯度前后的差异，并说明梯度累积的工程后果。实践四模拟公平骰子或多项分布，绘制经验概率随样本量增长的收敛曲线，解释小样本波动而不是把一次结果当作结论。实践五通过 dir、help 和官方文档检索张量创建函数与分布类，记录检索关键词、参数含义和最小可运行示例。所有实践均要求固定随机种子、记录软件版本、保留关键输出并提供重新运行说明。</w:t>
      </w:r>
    </w:p>
    <w:p w14:paraId="2AD2723B">
      <w:pPr>
        <w:pStyle w:val="168"/>
      </w:pPr>
      <w:r>
        <w:t>4. 教学重点、难点与突破策略</w:t>
      </w:r>
    </w:p>
    <w:p w14:paraId="5876CDEC">
      <w:pPr>
        <w:pStyle w:val="164"/>
      </w:pPr>
      <w:r>
        <w:t>教学重点是张量的轴与形状、广播规则、矩阵运算、梯度与自动微分、数据清洗和概率基本关系。教学难点主要有四类：一是学生容易把 reshape 看成数据重排而忽视元素顺序与总数约束；二是广播会产生“代码能运行但语义错误”的隐蔽问题；三是非标量反向传播、梯度累积和计算图释放不易凭直觉理解；四是条件概率问题中容易忽略先验概率。突破这些难点采用形状卡片、维度着色、手工小矩阵、计算图箭头、错误代码诊断和对照实验。教师应要求学生在运行之前给出预测，在运行之后用断言和数值差异解释结果；对仅粘贴代码、不能说明轴语义的作业不判定为达标。</w:t>
      </w:r>
    </w:p>
    <w:p w14:paraId="022F29F9">
      <w:pPr>
        <w:pStyle w:val="168"/>
      </w:pPr>
      <w:r>
        <w:t>5. 学习证据与质量标准</w:t>
      </w:r>
    </w:p>
    <w:p w14:paraId="3E81CC11">
      <w:pPr>
        <w:pStyle w:val="164"/>
      </w:pPr>
      <w:r>
        <w:t>模块证据由 Notebook、数据清洗说明、手工推导页、概率收敛图、API 检索记录和口头答辩组成。代码必须从空环境按说明运行，关键函数要有输入输出示例，广播、矩阵乘法和梯度结果要有至少一项自动断言。数据处理方案须说明缺失值比例、字段类型和选择策略，不允许在未知测试数据上计算统计量。梯度验证应同时报告解析梯度、自动微分梯度和有限差分结果，并解释容差来源。概率报告应区分理论概率、经验频率和置信程度，不因一次异常样本否定总体规律。教师通过运行复核、随机修改输入、追问 shape 与 axis 的含义验证真实性；同伴复核主要检查 Notebook 可读性和复现说明。</w:t>
      </w:r>
    </w:p>
    <w:p w14:paraId="2607CEAD">
      <w:pPr>
        <w:pStyle w:val="168"/>
      </w:pPr>
      <w:r>
        <w:t>6. 职业素养与价值要求</w:t>
      </w:r>
    </w:p>
    <w:p w14:paraId="35053EDC">
      <w:pPr>
        <w:pStyle w:val="164"/>
      </w:pPr>
      <w:r>
        <w:t>本模块强调数据不是天然正确的，缺失值填补、类别编码和样本选择都会影响后续结论。学生应建立不伪造数据、不删除不利结果、不过度解释随机波动的学术诚信意识；处理真实数据时遵守授权、脱敏和最小必要原则。通过有限差分与自动微分的交叉验证，培养用证据而非经验判断正确性的质量意识；通过查阅官方文档，形成尊重规范、持续学习和独立排障的职业习惯；通过记录随机种子、环境版本和处理步骤，理解可复现性既是研究要求，也是团队协作和工程交付的基本责任。</w:t>
      </w:r>
    </w:p>
    <w:p w14:paraId="189F412B">
      <w:pPr>
        <w:pStyle w:val="167"/>
      </w:pPr>
      <w:r>
        <w:t>（二）M2 线性回归与 Softmax 分类（监督学习与线性模型）</w:t>
      </w:r>
    </w:p>
    <w:p w14:paraId="156E9E93">
      <w:pPr>
        <w:pStyle w:val="165"/>
      </w:pPr>
      <w:r>
        <w:t>本模块安排3学时理论、</w:t>
      </w:r>
      <w:r>
        <w:rPr>
          <w:rFonts w:hint="eastAsia"/>
          <w:lang w:val="en-US" w:eastAsia="zh-CN"/>
        </w:rPr>
        <w:t>3</w:t>
      </w:r>
      <w:r>
        <w:t>学时实操。主要专题为：线性回归；平方损失；小批量随机梯度下降；向量化；softmax；交叉熵；公开十分类图像数据集；训练与评价。核心学习任务为：完成“从零到框架”的双实现项目：合成数据参数恢复、向量化性能测试和 公开十分类图像数据集 线性分类器。</w:t>
      </w:r>
    </w:p>
    <w:p w14:paraId="44C208C0">
      <w:pPr>
        <w:pStyle w:val="168"/>
      </w:pPr>
      <w:r>
        <w:t>1. 教学定位与任务情境</w:t>
      </w:r>
    </w:p>
    <w:p w14:paraId="069E73F1">
      <w:pPr>
        <w:pStyle w:val="164"/>
      </w:pPr>
      <w:r>
        <w:t>本模块建立学生第一次完整的监督学习训练闭环。教学不从复杂网络出发，而是以可解释、可手算的线性模型作为基线，让学生清楚看到数据迭代、参数初始化、前向计算、损失、反向传播、参数更新和评价之间的依赖关系。任务一利用已知真实参数生成带噪声的合成数据，要求学生通过小批量随机梯度下降恢复参数；任务二以服饰图像为对象，把十分类问题表达为 softmax 回归，并使用 公开十分类图像数据集 完成训练与测试。每个任务都先从零实现关键组件，再用 DataLoader、nn.Linear、损失函数和优化器进行简洁实现，学生必须给出两种实现的对应表，说明框架封装了什么、哪些责任仍由开发者承担。该模块形成后续多层感知机和卷积网络的最小可靠基线。</w:t>
      </w:r>
    </w:p>
    <w:p w14:paraId="34BD808F">
      <w:pPr>
        <w:pStyle w:val="168"/>
      </w:pPr>
      <w:r>
        <w:t>2. 知识内容与理解要求</w:t>
      </w:r>
    </w:p>
    <w:p w14:paraId="5E376836">
      <w:pPr>
        <w:pStyle w:val="164"/>
      </w:pPr>
      <w:r>
        <w:t>线性回归部分要求理解特征、标签、参数、超参数、预测和泛化，掌握 ŷ=Xw+b、平方损失、经验风险和小批量随机梯度下降的含义，知道解析解对矩阵可逆性和计算规模的限制，并理解高斯噪声假设与平方损失的联系。学生应能解释向量化为何利用底层并行计算降低 Python 循环开销。分类部分从类别标签和独热编码出发，理解 logits、softmax 概率和预测类别之间的关系，掌握交叉熵对真实类别对数概率的惩罚意义，并认识稳定实现通常将 softmax 与对数运算合并。训练评价部分覆盖批量读取、梯度清零、反向传播、优化器步进、训练模式与评估模式、损失累计、分类精度和测试集边界。学生不仅要会写代码，还要能说明损失取和或取平均对梯度尺度与学习率的影响。</w:t>
      </w:r>
    </w:p>
    <w:p w14:paraId="4DBDBB38">
      <w:pPr>
        <w:pStyle w:val="168"/>
      </w:pPr>
      <w:r>
        <w:t>3. 实践流程与能力要求</w:t>
      </w:r>
    </w:p>
    <w:p w14:paraId="3A3F4288">
      <w:pPr>
        <w:pStyle w:val="164"/>
      </w:pPr>
      <w:r>
        <w:t>参数恢复实验使用两维合成特征、已知权重和偏置并加入小幅高斯噪声。学生自编数据迭代器、线性模型、平方损失和 SGD，绘制每轮损失并报告估计参数与真实参数的绝对误差；随后使用 PyTorch 高级 API 重构，比较代码量、可读性和结果。向量化实验对相同规模向量分别采用 Python 循环和张量运算，重复计时并报告均值与离散程度。分类实验加载 公开十分类图像数据集，检查批量形状和类别名称，从零实现 softmax、交叉熵、准确率累计器和训练循环，再构建 Flatten 加 Linear 的简洁版本。学生需保存训练损失、训练准确率、测试准确率和若干错误样本，至少比较两组学习率或批量大小。所有结论必须由曲线或表格支撑。</w:t>
      </w:r>
    </w:p>
    <w:p w14:paraId="510A0CF8">
      <w:pPr>
        <w:pStyle w:val="168"/>
      </w:pPr>
      <w:r>
        <w:t>4. 教学重点、难点与突破策略</w:t>
      </w:r>
    </w:p>
    <w:p w14:paraId="2FD7DF6A">
      <w:pPr>
        <w:pStyle w:val="164"/>
      </w:pPr>
      <w:r>
        <w:t>重点是监督学习四要素、训练循环、小批量随机梯度下降、softmax、交叉熵和分类评价。难点包括：平方损失与似然视角的联系；softmax 指数运算的数值稳定性；logits、概率和类别索引的形状匹配；损失缩减方式改变梯度尺度；训练集、验证集和测试集职责不同。教师采用流程卡片让学生排列训练步骤，通过故意遗漏 zero_grad、错误地对测试集反向传播、把概率再次传给 CrossEntropyLoss 等故障案例进行诊断。对每种错误，学生必须指出现象、根因和修复验证方法。通过从零版与框架版逐行对应，避免学生把高级 API 当作黑箱。</w:t>
      </w:r>
    </w:p>
    <w:p w14:paraId="602E9A02">
      <w:pPr>
        <w:pStyle w:val="168"/>
      </w:pPr>
      <w:r>
        <w:t>5. 学习证据与质量标准</w:t>
      </w:r>
    </w:p>
    <w:p w14:paraId="699B7F16">
      <w:pPr>
        <w:pStyle w:val="164"/>
      </w:pPr>
      <w:r>
        <w:t>合格证据包括两套可运行代码、参数误差表、向量化计时表、分类训练曲线、混淆或错误样本分析和超参数实验记录。回归任务不以“损失下降”作为唯一依据，还要检查参数接近真实值、预测残差无系统偏差。分类任务要求训练和测试指标分别记录，禁止用测试集选择学习率；错误样本分析至少说明图像模糊、类别相似或线性边界能力不足中的一种原因。代码审查随机抽取一个批次，学生应说清输入维度、输出维度、损失标量化和参数更新。框架版必须验证参数初始化方式，不能默认认为库函数会自动选择最佳设置。报告中的运行环境、随机种子和关键超参数应完整。</w:t>
      </w:r>
    </w:p>
    <w:p w14:paraId="6504FF05">
      <w:pPr>
        <w:pStyle w:val="168"/>
      </w:pPr>
      <w:r>
        <w:t>6. 职业素养与价值要求</w:t>
      </w:r>
    </w:p>
    <w:p w14:paraId="0A219E6D">
      <w:pPr>
        <w:pStyle w:val="164"/>
      </w:pPr>
      <w:r>
        <w:t>学生应形成“先建立简单可靠基线，再证明复杂方案必要性”的工程观，避免用模型复杂度包装不充分的实验。测试集只用于最终评价，体现遵守评价边界和防止数据泄漏的职业规范；性能比较需在相同硬件、相同数据规模和重复测量条件下进行，不得选择性报告有利结果。通过错误样本分析，引导学生承认模型能力边界，避免把统计预测表述为绝对判断。提交代码时要保持命名清晰、结构可读并标注第三方代码来源，培养团队交付、知识产权和学术诚信意识。</w:t>
      </w:r>
    </w:p>
    <w:p w14:paraId="0777FF4D">
      <w:pPr>
        <w:pStyle w:val="167"/>
      </w:pPr>
      <w:r>
        <w:t>（三）M3 多层感知机、泛化与正则化（非线性网络与泛化控制）</w:t>
      </w:r>
    </w:p>
    <w:p w14:paraId="663A0055">
      <w:pPr>
        <w:pStyle w:val="165"/>
      </w:pPr>
      <w:r>
        <w:t>本模块安排</w:t>
      </w:r>
      <w:r>
        <w:rPr>
          <w:rFonts w:hint="eastAsia"/>
          <w:lang w:val="en-US" w:eastAsia="zh-CN"/>
        </w:rPr>
        <w:t>3</w:t>
      </w:r>
      <w:r>
        <w:t>学时理论、</w:t>
      </w:r>
      <w:r>
        <w:rPr>
          <w:rFonts w:hint="eastAsia"/>
          <w:lang w:val="en-US" w:eastAsia="zh-CN"/>
        </w:rPr>
        <w:t>3</w:t>
      </w:r>
      <w:r>
        <w:t>学时实操。主要专题为：隐藏层与激活函数；模型选择；欠拟合与过拟合；权重衰减；Dropout；反向传播；初始化；分布偏移；结构化数据回归预测。核心学习任务为：完成“泛化诊断与结构化数据回归预测”项目：激活函数比较、多项式拟合、权重衰减/Dropout 消融、K 折验证和模型卡。</w:t>
      </w:r>
    </w:p>
    <w:p w14:paraId="29560682">
      <w:pPr>
        <w:pStyle w:val="168"/>
      </w:pPr>
      <w:r>
        <w:t>1. 教学定位与任务情境</w:t>
      </w:r>
    </w:p>
    <w:p w14:paraId="4C7FCA2E">
      <w:pPr>
        <w:pStyle w:val="164"/>
      </w:pPr>
      <w:r>
        <w:t>本模块把学生从“模型能训练”推进到“模型能泛化、结果能解释”。情境以真实结构化数据回归预测为主线：训练数据字段既有数值也有类别，样本量有限，评价指标对高价样本敏感，学生必须在数据清洗、网络容量、正则化、交叉验证和最终预测之间作出有证据的选择。教学同时安排 公开十分类图像数据集 MLP 和多项式拟合小实验，使抽象的欠拟合、过拟合、偏差与方差能够通过曲线观察。学生需要比较 ReLU、sigmoid 和 tanh，理解隐藏层与非线性激活为何扩展函数表达能力；随后以权重衰减和 Dropout 控制复杂度，再用计算图、反向传播和初始化解释训练稳定性。模块最终要求提交模型卡，明确训练数据、指标、适用范围、已知局限和部署风险。</w:t>
      </w:r>
    </w:p>
    <w:p w14:paraId="1ECC8FD3">
      <w:pPr>
        <w:pStyle w:val="168"/>
      </w:pPr>
      <w:r>
        <w:t>2. 知识内容与理解要求</w:t>
      </w:r>
    </w:p>
    <w:p w14:paraId="08B5060F">
      <w:pPr>
        <w:pStyle w:val="164"/>
      </w:pPr>
      <w:r>
        <w:t>多层感知机部分包括隐藏层、仿射变换、ReLU、sigmoid、tanh 及其梯度特征，要求学生理解没有非线性激活的多层线性变换仍等价于单层线性模型。模型选择部分区分训练误差、验证误差、测试误差和泛化误差，讨论模型复杂度、样本规模、验证集和 K 折交叉验证。正则化部分包括 L2 惩罚与权重衰减、Dropout 的随机屏蔽和期望保持、训练模式与预测模式差异。计算部分覆盖前向传播、反向传播、计算图、梯度消失和爆炸、对称性问题以及 Xavier 初始化。环境与分布偏移部分区分协变量偏移、标签偏移和概念偏移，认识经验风险与部署分布风险的差异。结构化数据项目覆盖标准化、独热编码、对数均方根误差、K 折调参、基线比较和预测文件生成。</w:t>
      </w:r>
    </w:p>
    <w:p w14:paraId="645E8AA2">
      <w:pPr>
        <w:pStyle w:val="168"/>
      </w:pPr>
      <w:r>
        <w:t>3. 实践流程与能力要求</w:t>
      </w:r>
    </w:p>
    <w:p w14:paraId="6D98CE97">
      <w:pPr>
        <w:pStyle w:val="164"/>
      </w:pPr>
      <w:r>
        <w:t>第一组实验绘制三类激活函数及导数，比较饱和区和零点附近的梯度；在 公开十分类图像数据集 上训练单隐藏层 MLP，并改变隐藏单元数。第二组实验用不同阶数多项式和不同训练样本量构造欠拟合、适度拟合和过拟合，要求学生依据训练—验证曲线判定，而非依据训练损失单独判断。第三组实验在高维小样本数据上比较无正则、权重衰减、Dropout 及组合方案，记录权重范数、训练指标和验证指标。第四组实验画出计算图，解释参数梯度的反向依赖，并通过随机矩阵连乘观察数值不稳定。综合项目读取结构化数据数据，分离 ID，在训练折内完成标准化和编码，建立线性或浅层 MLP 基线，使用 K 折验证选择设置，训练全量模型并导出预测。</w:t>
      </w:r>
    </w:p>
    <w:p w14:paraId="78CA212E">
      <w:pPr>
        <w:pStyle w:val="168"/>
      </w:pPr>
      <w:r>
        <w:t>4. 教学重点、难点与突破策略</w:t>
      </w:r>
    </w:p>
    <w:p w14:paraId="7E2FDDD7">
      <w:pPr>
        <w:pStyle w:val="164"/>
      </w:pPr>
      <w:r>
        <w:t>重点是非线性表达、泛化误差、模型选择、权重衰减、Dropout、反向传播、初始化、分布偏移和端到端项目。难点在于训练误差很低不等于模型更好，正则化强度与模型容量之间不是单调关系，Dropout 在训练与推理阶段行为不同，深层计算图中的梯度可能因连乘而消失或爆炸，交叉验证若在全数据上先做标准化会产生泄漏。突破策略是用同一数据绘制成组曲线，以验证性能而非训练性能作决策；通过消融表一次只改变一个因素；用小计算图手工推导梯度；让学生故意制造一次泄漏并观察指标虚高；通过部署案例讨论训练分布和实际分布不一致的后果。</w:t>
      </w:r>
    </w:p>
    <w:p w14:paraId="25690F28">
      <w:pPr>
        <w:pStyle w:val="168"/>
      </w:pPr>
      <w:r>
        <w:t>5. 学习证据与质量标准</w:t>
      </w:r>
    </w:p>
    <w:p w14:paraId="3BD8489D">
      <w:pPr>
        <w:pStyle w:val="164"/>
      </w:pPr>
      <w:r>
        <w:t>证据包括激活函数图、MLP 结构与参数量、拟合曲线、正则化消融表、计算图推导、数据处理流水线、K 折结果、最终预测文件和模型卡。消融实验需保持数据划分、随机种子和训练轮数一致，报告均值而非仅挑选最好的一次；交叉验证的预处理统计量只能由当前训练折计算；模型卡必须说明样本来源、评价指标、误差较大的样本群体和不宜使用的场景。评价时教师会替换随机种子或部分输入验证代码稳健性，检查预测文件列名与行数，追问为何选择某个正则化强度。若学生只给排行榜或最终分数、没有基线和验证过程，不能判为优秀。</w:t>
      </w:r>
    </w:p>
    <w:p w14:paraId="3971E6A4">
      <w:pPr>
        <w:pStyle w:val="168"/>
      </w:pPr>
      <w:r>
        <w:t>6. 职业素养与价值要求</w:t>
      </w:r>
    </w:p>
    <w:p w14:paraId="7D3C4D37">
      <w:pPr>
        <w:pStyle w:val="164"/>
      </w:pPr>
      <w:r>
        <w:t>本模块突出模型部署对个人和社会的影响。结构化数据、金融或教育等预测可能反过来影响资源分配，学生应理解历史数据中的偏差可能被模型放大，不能把相关性当作因果关系，也不能用单一平均指标掩盖群体差异。项目需遵守数据授权和隐私要求，记录特征来源，不使用未来信息或目标泄漏特征。通过模型卡和分布偏移审计，培养透明披露局限、持续监测和允许人工复核的责任意识；通过基线、交叉验证和消融实验，形成以可复现证据支持工程决策的职业习惯。</w:t>
      </w:r>
    </w:p>
    <w:p w14:paraId="3E10DEB4">
      <w:pPr>
        <w:pStyle w:val="167"/>
      </w:pPr>
      <w:r>
        <w:t>（四）M4 卷积神经网络与图像分类（卷积表示与图像分类）</w:t>
      </w:r>
    </w:p>
    <w:p w14:paraId="0550E822">
      <w:pPr>
        <w:pStyle w:val="165"/>
      </w:pPr>
      <w:r>
        <w:t>本模块安排</w:t>
      </w:r>
      <w:r>
        <w:rPr>
          <w:rFonts w:hint="eastAsia"/>
          <w:lang w:val="en-US" w:eastAsia="zh-CN"/>
        </w:rPr>
        <w:t>5</w:t>
      </w:r>
      <w:r>
        <w:t>学时理论、</w:t>
      </w:r>
      <w:r>
        <w:rPr>
          <w:rFonts w:hint="eastAsia"/>
          <w:lang w:val="en-US" w:eastAsia="zh-CN"/>
        </w:rPr>
        <w:t>5</w:t>
      </w:r>
      <w:r>
        <w:t>学时实操。主要专题为：局部性与平移不变性；二维互相关；卷积核；填充与步幅；多通道；1×1 卷积；汇聚；基础卷积分类网络。核心学习任务为：完成“从边缘检测到 基础卷积分类网络”视觉项目：卷积核学习、尺寸推导、多通道验证、公开十分类图像数据集 分类和中间特征分析。</w:t>
      </w:r>
    </w:p>
    <w:p w14:paraId="671F2754">
      <w:pPr>
        <w:pStyle w:val="168"/>
      </w:pPr>
      <w:r>
        <w:t>1. 教学定位与任务情境</w:t>
      </w:r>
    </w:p>
    <w:p w14:paraId="48F320EA">
      <w:pPr>
        <w:pStyle w:val="164"/>
      </w:pPr>
      <w:r>
        <w:t>本模块将前面形成的数据、优化和模块化能力综合到图像任务中。教学从“为什么不直接对百万像素图像使用全连接层”这一工程问题出发，引导学生理解图像的局部性和平移不变性如何转化为局部连接和权重共享。任务链由可观察的小问题逐步扩展：先手工实现二维互相关，用固定核检测垂直边缘；再从输入输出样本中学习卷积核；随后研究填充、步幅、通道和汇聚对形状与信息的影响；最后搭建 基础卷积分类网络 完成 公开十分类图像数据集 分类，并与前一模块的线性或 MLP 基线比较。学生要在每一层记录张量形状、参数量和计算设备，结合训练曲线、错误样本和激活图说明模型表现，使卷积网络不只是可调用的现成结构。</w:t>
      </w:r>
    </w:p>
    <w:p w14:paraId="4D71964B">
      <w:pPr>
        <w:pStyle w:val="168"/>
      </w:pPr>
      <w:r>
        <w:t>2. 知识内容与理解要求</w:t>
      </w:r>
    </w:p>
    <w:p w14:paraId="7FB7105A">
      <w:pPr>
        <w:pStyle w:val="164"/>
      </w:pPr>
      <w:r>
        <w:t>从全连接到卷积部分说明平移不变性、局部性和参数共享，认识结构先验如何降低参数量并提高样本效率。图像卷积部分以互相关为实现定义，掌握卷积核、特征映射、边缘检测和感受野，理解严格数学卷积与深度学习互相关只相差核翻转。填充与步幅部分要求根据输入高宽、核大小、总填充和步幅推导输出尺寸，理解奇偶核和非整除情形。多通道部分覆盖输入通道求和、多个输出核、四维权重张量和 1×1 卷积的通道混合。汇聚部分区分最大与平均汇聚，理解汇聚通常逐通道进行并提高局部位置鲁棒性。基础卷积分类网络 部分掌握卷积、激活、汇聚、展平和全连接层的顺序，以及各层输出形状、参数量、损失和训练评价。</w:t>
      </w:r>
    </w:p>
    <w:p w14:paraId="42B527AE">
      <w:pPr>
        <w:pStyle w:val="168"/>
      </w:pPr>
      <w:r>
        <w:t>3. 实践流程与能力要求</w:t>
      </w:r>
    </w:p>
    <w:p w14:paraId="65C82511">
      <w:pPr>
        <w:pStyle w:val="164"/>
      </w:pPr>
      <w:r>
        <w:t>第一项实践用小矩阵手工计算互相关，再编写 二维互相关函数 并与期望矩阵断言一致。第二项实践构造中间列为零的黑白图像，用核 [1,-1] 检测垂直边缘，并通过 Conv2d 训练学习近似卷积核，记录损失和核值变化。第三项实践建立卷积尺寸推导表，覆盖不同核、填充、步幅和通道组合，要求先填写预测再运行。第四项实践从零实现多输入多输出卷积和 1×1 卷积，使用数值一致性测试验证。第五项实践比较最大与平均汇聚对小幅平移和噪声的响应。综合实践搭建 基础卷积分类网络，逐层打印形状，在 公开十分类图像数据集 上训练，比较平均/最大汇聚、sigmoid/ReLU、通道数或学习率，输出准确率、参数量、吞吐率和中间激活图。</w:t>
      </w:r>
    </w:p>
    <w:p w14:paraId="260EEEAA">
      <w:pPr>
        <w:pStyle w:val="168"/>
      </w:pPr>
      <w:r>
        <w:t>4. 教学重点、难点与突破策略</w:t>
      </w:r>
    </w:p>
    <w:p w14:paraId="223B5E45">
      <w:pPr>
        <w:pStyle w:val="164"/>
      </w:pPr>
      <w:r>
        <w:t>重点是互相关、卷积输出形状、多通道、汇聚和 基础卷积分类网络。难点包括卷积与互相关的术语差异，批量—通道—高—宽四维语义，填充和步幅综合计算，输入通道求和与输出通道并列的区别，感受野随网络层数扩大，以及展平前后的维度衔接。教学采用彩色通道卡、滑动窗口动画、小矩阵手算和形状断言突破抽象概念。教师应设置典型故障：通道顺序错误、卷积后展平维数写死、忘记模型评估模式、把汇聚误认为跨通道。学生需从异常信息和逐层形状定位问题，而不是靠反复试数修复。</w:t>
      </w:r>
    </w:p>
    <w:p w14:paraId="1BB75047">
      <w:pPr>
        <w:pStyle w:val="168"/>
      </w:pPr>
      <w:r>
        <w:t>5. 学习证据与质量标准</w:t>
      </w:r>
    </w:p>
    <w:p w14:paraId="054F50DF">
      <w:pPr>
        <w:pStyle w:val="164"/>
      </w:pPr>
      <w:r>
        <w:t>模块成果须包含互相关、汇聚和多通道操作的单元测试，至少十组卷积尺寸手算与运行对照，边缘检测输出图和学习到的核，基础卷积分类网络 结构打印、参数量、检查点、训练/测试曲线、错误样本、激活图和一项受控消融。准确率只作多维评价中的一项，必须同时报告训练时间、吞吐率或参数量，并与线性基线在相同数据划分下比较。激活图分析允许提出假设，但不得把高响应直接宣称为确定的因果解释。教师复核时随机改变输入尺寸或通道数，检查代码是否硬编码；答辩要求学生现场计算给定卷积配置的输出形状并说明每一维语义。</w:t>
      </w:r>
    </w:p>
    <w:p w14:paraId="023F7855">
      <w:pPr>
        <w:pStyle w:val="168"/>
      </w:pPr>
      <w:r>
        <w:t>6. 职业素养与价值要求</w:t>
      </w:r>
    </w:p>
    <w:p w14:paraId="3C89608A">
      <w:pPr>
        <w:pStyle w:val="164"/>
      </w:pPr>
      <w:r>
        <w:t>图像数据常涉及肖像、场所和设备信息，采集、标注与展示必须取得授权并进行必要脱敏；数据增强不得改变标签语义。学生应认识卷积网络的归纳偏置适合局部结构，但在视角、背景或群体分布改变时仍可能失效，不能把测试集结果无限外推。项目评价同时关注参数量、吞吐率和能耗，鼓励在满足任务要求的情况下选择较小模型。通过错误样本和特征图检查，培养承认局限、保留人工复核、避免用视觉模型作不当歧视性判断的责任意识。</w:t>
      </w:r>
    </w:p>
    <w:p w14:paraId="649218EC">
      <w:pPr>
        <w:pStyle w:val="167"/>
      </w:pPr>
      <w:r>
        <w:t>（五）M5 循环神经网络与序列建模（序列数据与循环建模）</w:t>
      </w:r>
    </w:p>
    <w:p w14:paraId="1F6BDD79">
      <w:pPr>
        <w:pStyle w:val="165"/>
      </w:pPr>
      <w:r>
        <w:t>本模块安排</w:t>
      </w:r>
      <w:r>
        <w:rPr>
          <w:rFonts w:hint="eastAsia"/>
          <w:lang w:val="en-US" w:eastAsia="zh-CN"/>
        </w:rPr>
        <w:t>5</w:t>
      </w:r>
      <w:r>
        <w:t>学时理论、</w:t>
      </w:r>
      <w:r>
        <w:rPr>
          <w:rFonts w:hint="eastAsia"/>
          <w:lang w:val="en-US" w:eastAsia="zh-CN"/>
        </w:rPr>
        <w:t>5</w:t>
      </w:r>
      <w:r>
        <w:t>学时实操。主要专题为：自回归与马尔可夫假设；文本预处理；语言模型；序列采样；RNN；困惑度；隐状态；梯度裁剪；BPTT。核心学习任务为：完成“序列预测与字符语言模型”项目：时间序列多步预测、文本词元化、两种采样器、RNN 双实现和稳定性消融。</w:t>
      </w:r>
    </w:p>
    <w:p w14:paraId="6A0F8600">
      <w:pPr>
        <w:pStyle w:val="168"/>
      </w:pPr>
      <w:r>
        <w:t>1. 教学定位与任务情境</w:t>
      </w:r>
    </w:p>
    <w:p w14:paraId="2C4D6A20">
      <w:pPr>
        <w:pStyle w:val="164"/>
      </w:pPr>
      <w:r>
        <w:t>本模块从独立样本转向具有时间与上下文依赖的序列数据。任务情境包含两条相互印证的主线：一是对带噪周期序列进行单步和多步预测，观察递归使用自身输出导致的误差累积；二是把经授权的字符语料转化为字符序列，训练字符级语言模型生成后续文本。学生需要理解时间顺序不能像普通表格样本那样任意打乱，训练、验证和测试必须按时间划分；理解隐状态不是简单缓存，而是参数共享的递推计算产生的历史摘要；理解训练困惑度较低不代表生成内容事实正确。通过从零实现和 nn.RNN 简洁实现，学生把文本管道、状态管理、梯度裁剪、截断反向传播和评价指标整合为可复现序列项目。</w:t>
      </w:r>
    </w:p>
    <w:p w14:paraId="17ED9DB4">
      <w:pPr>
        <w:pStyle w:val="168"/>
      </w:pPr>
      <w:r>
        <w:t>2. 知识内容与理解要求</w:t>
      </w:r>
    </w:p>
    <w:p w14:paraId="494D464C">
      <w:pPr>
        <w:pStyle w:val="164"/>
      </w:pPr>
      <w:r>
        <w:t>序列模型部分包括联合概率按时间分解、自回归模型、有限历史窗口、隐变量自回归和马尔可夫假设，区分内插、外推、单步预测和递归多步预测。文本预处理部分包括读取、清洗、词元化、词表、未知词元和索引化。语言模型部分理解序列联合概率、一元到多元语法、词频长尾和随机采样/顺序分区。RNN 部分掌握 H_t=φ(X_tW_xh+H_{t-1}W_hh+b_h) 的状态更新、输出层、跨时间参数共享、字符级语言模型、独热编码和困惑度。训练部分理解隐状态初始化、顺序批次中的状态继承与 detach、随机批次中的重置、梯度范数和裁剪。BPTT 部分理解沿时间展开的计算图、矩阵高次幂引起的梯度爆炸与消失，以及固定长度截断在计算、显存和长期依赖之间的折中。</w:t>
      </w:r>
    </w:p>
    <w:p w14:paraId="55028AFA">
      <w:pPr>
        <w:pStyle w:val="168"/>
      </w:pPr>
      <w:r>
        <w:t>3. 实践流程与能力要求</w:t>
      </w:r>
    </w:p>
    <w:p w14:paraId="5D686731">
      <w:pPr>
        <w:pStyle w:val="164"/>
      </w:pPr>
      <w:r>
        <w:t>序列预测实验生成周期信号加噪声，按时间先后划分训练和测试，使用固定历史窗口建立基线，分别评价一步、四步、十六步和更长跨度，绘制误差随预测距离增长的曲线。文本管道实验完成字符和单词两种词元化，建立词表，绘制一元、二元和三元词频双对数图，实现随机采样和顺序分区迭代器，并断言标签是输入右移一位。RNN 从零实现包括参数初始化、隐状态、时间循环、输出、预测、梯度裁剪和训练；简洁版使用 nn.RNN 与独立输出层。学生比较两版的参数量、吞吐率、困惑度和代码复杂度。稳定性消融分别关闭梯度裁剪、改变截断长度或遗漏 detach，记录梯度范数、显存、时间和发散现象。</w:t>
      </w:r>
    </w:p>
    <w:p w14:paraId="3F03B750">
      <w:pPr>
        <w:pStyle w:val="168"/>
      </w:pPr>
      <w:r>
        <w:t>4. 教学重点、难点与突破策略</w:t>
      </w:r>
    </w:p>
    <w:p w14:paraId="08309E34">
      <w:pPr>
        <w:pStyle w:val="164"/>
      </w:pPr>
      <w:r>
        <w:t>重点是序列依赖、文本数据管道、隐状态递推、困惑度、梯度裁剪和 BPTT。难点包括时间步、批量、词表和隐藏维之间的变换；随机采样与顺序分区对应不同的状态策略；训练完整目标时的张量展平；梯度爆炸与消失的现象和处理方式不同；长期预测误差不能由单步测试替代。教学使用时间轴卡片、展开计算图、形状表和状态生命周期图，让学生标注每个批次开始与结束时的隐状态。通过故意混入未来信息、忘记 detach 和关闭裁剪的对照实验，使学生从指标异常、显存增长和梯度范数中识别问题。</w:t>
      </w:r>
    </w:p>
    <w:p w14:paraId="1B2399D8">
      <w:pPr>
        <w:pStyle w:val="168"/>
      </w:pPr>
      <w:r>
        <w:t>5. 学习证据与质量标准</w:t>
      </w:r>
    </w:p>
    <w:p w14:paraId="5D176D22">
      <w:pPr>
        <w:pStyle w:val="164"/>
      </w:pPr>
      <w:r>
        <w:t>证据包括时间划分图、多跨度预测曲线、词表与词频图、两种采样器测试、RNN 两版代码、形状说明、困惑度曲线、梯度范数、吞吐率和生成样例。时间序列不得随机打散后再报告长期预测；文本批次必须通过输入—标签错位断言；顺序分区需说明隐状态何时继承和分离。困惑度应在明确的词元级别上计算，不同词表不能直接比较。生成文本评价同时考察局部连贯、重复、乱码和事实不可验证等问题，不以少量看似流畅样例代替测试指标。答辩随机给定批量大小、时间步和词表大小，学生应准确说明输入、隐状态、输出和损失展平后的形状。</w:t>
      </w:r>
    </w:p>
    <w:p w14:paraId="2C40FA77">
      <w:pPr>
        <w:pStyle w:val="168"/>
      </w:pPr>
      <w:r>
        <w:t>6. 职业素养与价值要求</w:t>
      </w:r>
    </w:p>
    <w:p w14:paraId="5AACB75A">
      <w:pPr>
        <w:pStyle w:val="164"/>
      </w:pPr>
      <w:r>
        <w:t>序列数据通常带有时间、行为和语境信息，容易在划分或特征构造中泄漏未来信息。学生必须保留时间戳语义，禁止使用预测时不可获得的变量，并记录截断、清洗和词元化规则。生成模型输出可能语法通顺却事实错误，也可能复现训练语料中的偏见或敏感内容，演示时应设置内容审查、风险提示和人工确认。通过报告失败预测和长期误差累积，引导学生不夸大模型能力；通过保存语料许可、词表、配置和随机种子，培养数据合规、版权尊重和可复现交付意识。</w:t>
      </w:r>
    </w:p>
    <w:p w14:paraId="0F1A0E19">
      <w:pPr>
        <w:pStyle w:val="167"/>
      </w:pPr>
      <w:r>
        <w:t>（六）M6 图像增广、迁移学习与微调（计算机视觉应用（一））</w:t>
      </w:r>
    </w:p>
    <w:p w14:paraId="52424393">
      <w:pPr>
        <w:pStyle w:val="165"/>
      </w:pPr>
      <w:r>
        <w:t>本模块安排</w:t>
      </w:r>
      <w:r>
        <w:rPr>
          <w:rFonts w:hint="eastAsia"/>
          <w:lang w:val="en-US" w:eastAsia="zh-CN"/>
        </w:rPr>
        <w:t>4</w:t>
      </w:r>
      <w:r>
        <w:t>学时理论、</w:t>
      </w:r>
      <w:r>
        <w:rPr>
          <w:rFonts w:hint="eastAsia"/>
          <w:lang w:val="en-US" w:eastAsia="zh-CN"/>
        </w:rPr>
        <w:t>4</w:t>
      </w:r>
      <w:r>
        <w:t>学时实操。主要专题为：图像增广；训练与预测变换差异；预训练模型；迁移学习；分类头替换；冻结与解冻；差分学习率；有限样本图像分类。核心学习任务为：完成“有限样本图像分类”项目：数据审计、增广对照、预训练模型微调、冻结/解冻比较、错误样本分析和模型卡。</w:t>
      </w:r>
    </w:p>
    <w:p w14:paraId="786A1EF5">
      <w:pPr>
        <w:pStyle w:val="168"/>
      </w:pPr>
      <w:r>
        <w:t>1. 教学定位与任务情境</w:t>
      </w:r>
    </w:p>
    <w:p w14:paraId="321F0DC4">
      <w:pPr>
        <w:pStyle w:val="164"/>
      </w:pPr>
      <w:r>
        <w:t>本模块是计算机视觉应用序列的第一部分，以“小样本条件下如何获得可靠图像分类模型”为工作任务。学生已经在卷积视觉模块掌握卷积、汇聚和 基础卷积分类网络，本模块不再重复卷积公式，而是把重点转向真实视觉项目中最常用的两种能力：用图像增广提高样本多样性，用预训练模型和微调缩短训练时间、改善有限数据上的泛化。任务可采用经学校审核的有限样本图像数据或经学校审核的二分类/多分类图片集。学生先检查类别、样本量、分辨率、重复图片和划分，再建立无增广的从头训练基线，随后设计增广组合并加载预训练 主流预训练卷积模型 等模型，替换分类头，比较冻结主干、逐步解冻和全量微调。教学始终强调预训练并不自动保证有效，迁移收益取决于源任务与目标任务的相似性、数据质量、参数设置和评价协议。</w:t>
      </w:r>
    </w:p>
    <w:p w14:paraId="20223AAD">
      <w:pPr>
        <w:pStyle w:val="168"/>
      </w:pPr>
      <w:r>
        <w:t>2. 知识内容与理解要求</w:t>
      </w:r>
    </w:p>
    <w:p w14:paraId="1853F90D">
      <w:pPr>
        <w:pStyle w:val="164"/>
      </w:pPr>
      <w:r>
        <w:t>图像增广部分覆盖随机水平翻转、裁剪、缩放、颜色抖动和组合变换，要求理解随机性只作用于训练集，同一图像的多种视图并不会创造新的事实标签；验证和预测阶段应采用确定性的缩放、裁剪与归一化，不能把随机测试结果当作稳定指标。迁移学习部分区分预训练、特征提取和微调，理解通用低层特征与任务相关高层特征的差异。学生需要掌握加载预训练权重、替换最终输出层、匹配类别数、冻结与解冻参数、为新层和主干设置不同学习率以及 BatchNorm 训练状态等基本接口。还应理解从头训练与微调的公平比较条件、域差异造成的负迁移，以及模型检查点应同时记录类别映射、预处理和权重来源。</w:t>
      </w:r>
    </w:p>
    <w:p w14:paraId="503E373A">
      <w:pPr>
        <w:pStyle w:val="168"/>
      </w:pPr>
      <w:r>
        <w:t>3. 实践流程与能力要求</w:t>
      </w:r>
    </w:p>
    <w:p w14:paraId="7EE67CFC">
      <w:pPr>
        <w:pStyle w:val="164"/>
      </w:pPr>
      <w:r>
        <w:t>实践先制作数据清单和样例网格，按类别分层划分训练、验证和测试集，并通过文件哈希或相似图检查重复泄漏。学生建立确定性基线后，把增广流水线逐项可视化，检查裁剪是否破坏主体、翻转是否改变语义、颜色变化是否超出业务场景。微调实验加载教师指定的可信预训练权重，替换分类头并验证输出维度，依次运行仅训练新层、解冻后几层和全量微调三种策略；每次记录可训练参数量、学习率、训练时间、显存、最佳验证轮次和测试结果。至少设置一项增广消融和一项冻结策略消融，使用混淆矩阵或错误样例分析类别混淆、背景依赖和图像质量问题。最终提供单张与批量推理接口，并验证保存加载前后输出一致。</w:t>
      </w:r>
    </w:p>
    <w:p w14:paraId="4C49E655">
      <w:pPr>
        <w:pStyle w:val="168"/>
      </w:pPr>
      <w:r>
        <w:t>4. 教学重点、难点与突破策略</w:t>
      </w:r>
    </w:p>
    <w:p w14:paraId="0E1B8E9D">
      <w:pPr>
        <w:pStyle w:val="164"/>
      </w:pPr>
      <w:r>
        <w:t>教学重点是训练/验证变换边界、增广的语义合理性、预训练权重加载、分类头替换、冻结与解冻以及差分学习率。难点包括增广过强导致标签语义受损，验证集被随机变换造成指标波动，冻结参数后遗漏优化器更新范围，预训练模型要求的输入归一化与自建数据不一致，以及 BatchNorm 或 Dropout 模式错误。教师通过同一图片的多次变换网格、可训练参数清单、逐层输出形状和故障案例突破难点：故意在验证集启用随机裁剪、忘记替换输出层或给全网使用过大学习率，让学生根据曲线和日志定位原因。学生必须先用一个批次完成前向、反向和参数变化检查，再启动长时间训练，避免把算力浪费在接口错误上。</w:t>
      </w:r>
    </w:p>
    <w:p w14:paraId="01F74EFE">
      <w:pPr>
        <w:pStyle w:val="168"/>
      </w:pPr>
      <w:r>
        <w:t>5. 学习证据与质量标准</w:t>
      </w:r>
    </w:p>
    <w:p w14:paraId="259F95EA">
      <w:pPr>
        <w:pStyle w:val="164"/>
      </w:pPr>
      <w:r>
        <w:t>评价证据包括数据来源与划分说明、重复样本检查、增广前后可视化、模型结构和可训练参数清单、从头训练与微调曲线、消融表、混淆矩阵、错误样本、运行环境、检查点和模型卡。最低门槛是训练与预测预处理边界清楚，分类头输出与类别数一致，冻结参数在优化步骤后保持不变，保存加载后固定输入的输出在容差内一致。比较结论必须建立在相同数据划分、评价指标和近似训练预算上，不能只展示微调中最好的一次。若微调没有优于基线，应保留结果并从域差异、数据规模、学习率或增广强度分析原因。模型卡需说明预训练权重来源、未知训练数据风险、适用图像范围和需要人工复核的错误类型。</w:t>
      </w:r>
    </w:p>
    <w:p w14:paraId="423FE443">
      <w:pPr>
        <w:pStyle w:val="168"/>
      </w:pPr>
      <w:r>
        <w:t>6. 职业素养与价值要求</w:t>
      </w:r>
    </w:p>
    <w:p w14:paraId="44C3094A">
      <w:pPr>
        <w:pStyle w:val="164"/>
      </w:pPr>
      <w:r>
        <w:t>图像通常包含肖像、场所、商标和设备信息，学生须确认数据许可和使用目的，对可识别个人信息进行脱敏，不得从网络无差别抓取图片。图像增广不能用于掩盖类别不平衡或错误标注，预训练模型也可能继承来源数据中的地域、群体和场景偏差。项目报告应把模型表现表述为给定数据和协议下的实验结果，不将高测试准确率扩展为真实环境的绝对可靠性。使用他人权重时要记录下载地址、版本、许可证和校验信息；使用 GPU 时遵守预约与配额，先做小批次验证再训练。通过公开失败样例、说明不确定性和保留人工复核，形成尊重隐私、版权、证据和资源约束的视觉人工智能职业责任。</w:t>
      </w:r>
    </w:p>
    <w:p w14:paraId="56FDDA9F">
      <w:pPr>
        <w:pStyle w:val="167"/>
      </w:pPr>
      <w:r>
        <w:t>（七）M7 目标检测与语义分割基础应用（计算机视觉应用（二））</w:t>
      </w:r>
    </w:p>
    <w:p w14:paraId="37496285">
      <w:pPr>
        <w:pStyle w:val="165"/>
      </w:pPr>
      <w:r>
        <w:t>本模块安排</w:t>
      </w:r>
      <w:r>
        <w:rPr>
          <w:rFonts w:hint="eastAsia"/>
          <w:lang w:val="en-US" w:eastAsia="zh-CN"/>
        </w:rPr>
        <w:t>3</w:t>
      </w:r>
      <w:r>
        <w:t>学时理论、</w:t>
      </w:r>
      <w:r>
        <w:rPr>
          <w:rFonts w:hint="eastAsia"/>
          <w:lang w:val="en-US" w:eastAsia="zh-CN"/>
        </w:rPr>
        <w:t>3</w:t>
      </w:r>
      <w:r>
        <w:t>学时实操。主要专题为：边界框；交并比；锚框；标注分配；偏移量；非极大值抑制；多尺度检测；SSD流程；语义分割；转置卷积；全卷积网络。核心学习任务为：完成“看见位置与区域”应用项目：边界框工具、IoU/NMS测试、简化SSD推理或训练、图像—掩膜式分割数据管道、FCN基础实验和风险报告。</w:t>
      </w:r>
    </w:p>
    <w:p w14:paraId="2BFC5F0D">
      <w:pPr>
        <w:pStyle w:val="168"/>
      </w:pPr>
      <w:r>
        <w:t>1. 教学定位与任务情境</w:t>
      </w:r>
    </w:p>
    <w:p w14:paraId="7902D2EE">
      <w:pPr>
        <w:pStyle w:val="164"/>
      </w:pPr>
      <w:r>
        <w:t>本模块是计算机视觉应用序列的第二部分，把图像分类的“图中有什么”推进到目标检测的“什么在什么位置”和语义分割的“每个像素属于什么类别”。任务设置为在小型场景中识别并定位对象，同时划分指定语义区域，例如安全装备、校园物品、道路要素或课程组提供的检测与分割小样本。课程不要求学生完整复现所有大型检测体系，而是围绕可迁移的基础操作建立正确认识：边界框表示、交并比、候选框匹配、偏移编码、非极大值抑制、尺度变化、像素标签和空间上采样。学生先在人工小图和少量标注上验证几何，再使用课程组提供的基础SSD/FCN骨架完成训练或推理，使复杂模型仍可由输入、输出、损失、后处理和评价证据逐项检查。</w:t>
      </w:r>
    </w:p>
    <w:p w14:paraId="3200ACED">
      <w:pPr>
        <w:pStyle w:val="168"/>
      </w:pPr>
      <w:r>
        <w:t>2. 知识内容与理解要求</w:t>
      </w:r>
    </w:p>
    <w:p w14:paraId="4E494091">
      <w:pPr>
        <w:pStyle w:val="164"/>
      </w:pPr>
      <w:r>
        <w:t>目标检测部分区分角点式和中心—宽高式边界框，理解坐标归一化与图像尺寸变换；以交并比衡量框重合，理解锚框按尺度和宽高比生成、与真实框分配、类别标注和偏移量编码的逻辑。非极大值抑制用于删除同一目标的重复预测，阈值会在漏检与重复框之间形成权衡；多尺度特征图用于覆盖不同大小目标。学生只需掌握SSD的基本流程：多尺度特征、类别预测、边界框预测、损失和NMS后处理，R-CNN系列与风格迁移列为拓展。语义分割部分理解每个像素均有类别标签，掌握图像—掩膜式图像—掩膜配对、随机裁剪同步变换、转置卷积扩大空间尺寸以及FCN把分类网络改为密集预测的思路，能区分分割与检测的输出及评价对象。</w:t>
      </w:r>
    </w:p>
    <w:p w14:paraId="7A7AD130">
      <w:pPr>
        <w:pStyle w:val="168"/>
      </w:pPr>
      <w:r>
        <w:t>3. 实践流程与能力要求</w:t>
      </w:r>
    </w:p>
    <w:p w14:paraId="0F703838">
      <w:pPr>
        <w:pStyle w:val="164"/>
      </w:pPr>
      <w:r>
        <w:t>实践一编写边界框转换和绘制工具，构造已知面积的矩形手算IoU，再用代码断言；改变NMS阈值观察保留框数量和重复检测。实践二读取小型检测数据，检查图像、类别和归一化框是否对应，统计类别与框尺寸分布，利用教师提供的简化SSD骨架完成一个批次的锚框、类别、偏移量和损失形状检查；算力允许时完成短训练，否则使用可信检查点进行推理和后处理分析。实践三读取图像—掩膜式分割数据，检查调色板到类别索引的映射，对图像和掩膜执行完全同步的裁剪与翻转；使用预训练主干和FCN头进行基础微调，输出像素准确率、平均交并比和预测叠加图。学生至少分析各五个漏检、误检或边界错误案例，并说明数据、阈值、模型或标注中的可能原因。</w:t>
      </w:r>
    </w:p>
    <w:p w14:paraId="1627CC50">
      <w:pPr>
        <w:pStyle w:val="168"/>
      </w:pPr>
      <w:r>
        <w:t>4. 教学重点、难点与突破策略</w:t>
      </w:r>
    </w:p>
    <w:p w14:paraId="1A740A27">
      <w:pPr>
        <w:pStyle w:val="164"/>
      </w:pPr>
      <w:r>
        <w:t>重点是边界框坐标、IoU、锚框匹配、偏移编码、NMS、像素标签、同步变换、转置卷积和FCN数据流。难点集中在坐标格式混淆、缩放裁剪后标注未同步、锚框数量导致的高维形状、正负样本不平衡、NMS阈值作用、转置卷积输出尺寸以及分割调色板与类别索引转换。教师使用带网格的人工图、颜色标注框、逐步NMS动画和小型张量形状表，把每个操作变成可手算的样例；通过故意交换xy坐标、忘记归一化或只裁剪图像不裁剪掩膜的故障案例，让学生从可视化和指标异常定位根因。训练前必须通过几何与标签单元测试，避免在坐标错误的数据上浪费长时间计算。</w:t>
      </w:r>
    </w:p>
    <w:p w14:paraId="183AFE91">
      <w:pPr>
        <w:pStyle w:val="168"/>
      </w:pPr>
      <w:r>
        <w:t>5. 学习证据与质量标准</w:t>
      </w:r>
    </w:p>
    <w:p w14:paraId="7C2FE349">
      <w:pPr>
        <w:pStyle w:val="164"/>
      </w:pPr>
      <w:r>
        <w:t>证据包括数据许可和标注规范、类别与尺寸统计、边界框/掩膜叠加图、IoU手算对照、NMS阈值实验、锚框与预测张量形状、模型配置、训练或推理日志、像素准确率、平均IoU、错误案例册和复现命令。最低质量门槛是所有可视化框位于合理范围，图像与掩膜经过随机变换后仍严格对齐，人工小样例的IoU与NMS输出正确，模型输出类别和空间尺寸符合任务定义。评价不把总体准确率作为唯一指标：检测需分别查看漏检、误检、重复框和定位偏差，分割需查看小类别、边界和背景占比。若使用教师检查点，学生仍须说明输入预处理、输出解码和后处理，不能把调用成功等同于理解。</w:t>
      </w:r>
    </w:p>
    <w:p w14:paraId="0A8095D9">
      <w:pPr>
        <w:pStyle w:val="168"/>
      </w:pPr>
      <w:r>
        <w:t>6. 职业素养与价值要求</w:t>
      </w:r>
    </w:p>
    <w:p w14:paraId="44F98B40">
      <w:pPr>
        <w:pStyle w:val="164"/>
      </w:pPr>
      <w:r>
        <w:t>检测与分割常用于监控、交通、工业和公共空间，错误可能具有不对称后果：漏检安全目标与误报普通行为的代价不同。学生应在立项时说明数据用途、拍摄许可、标注人员与类别定义，对包含人脸、车牌或地理位置的信息采取脱敏和访问控制。标注一致性需要抽检与双人复核，不能为了提高指标随意删除困难样本。报告应按类别和场景展示失败，关注小目标、遮挡、光照和少数类别，而不是用大面积背景带来的高像素准确率掩盖问题。课程成果只作为教学原型，涉及安全、医疗或执法场景必须保留人工复核、阈值审查和退出机制，培养对数据、标注、误差代价和社会影响负责的工程意识。</w:t>
      </w:r>
    </w:p>
    <w:p w14:paraId="42D12FDB">
      <w:pPr>
        <w:pStyle w:val="167"/>
      </w:pPr>
      <w:r>
        <w:t>（八）M8 词嵌入与预训练词向量应用（文本预训练表示（一））</w:t>
      </w:r>
    </w:p>
    <w:p w14:paraId="523A41A7">
      <w:pPr>
        <w:pStyle w:val="165"/>
      </w:pPr>
      <w:r>
        <w:t>本模块安排</w:t>
      </w:r>
      <w:r>
        <w:rPr>
          <w:rFonts w:hint="eastAsia"/>
          <w:lang w:val="en-US" w:eastAsia="zh-CN"/>
        </w:rPr>
        <w:t>3</w:t>
      </w:r>
      <w:r>
        <w:t>学时理论、</w:t>
      </w:r>
      <w:r>
        <w:rPr>
          <w:rFonts w:hint="eastAsia"/>
          <w:lang w:val="en-US" w:eastAsia="zh-CN"/>
        </w:rPr>
        <w:t>3</w:t>
      </w:r>
      <w:r>
        <w:t>学时实操。主要专题为：独热表示局限；Skip-Gram；CBOW；负采样；词嵌入数据管道；预训练词向量；相似度与类比；fastText；字节对编码。核心学习任务为：完成“词语表示实验室”：语料预处理、负采样数据检查、小型Skip-Gram训练、预训练向量检索、相似度/类比评测和词表外分析。</w:t>
      </w:r>
    </w:p>
    <w:p w14:paraId="28405817">
      <w:pPr>
        <w:pStyle w:val="168"/>
      </w:pPr>
      <w:r>
        <w:t>1. 教学定位与任务情境</w:t>
      </w:r>
    </w:p>
    <w:p w14:paraId="2D8E39E7">
      <w:pPr>
        <w:pStyle w:val="164"/>
      </w:pPr>
      <w:r>
        <w:t>本模块是文本预训练表示应用序列的第一部分，解决离散词元如何转化为可学习、可比较的连续向量。课程从独热表示展开：独热向量能标识词，却无法表达词之间的相似关系，维度还随词表增长。学生以小型英文或经许可的中文语料构建词表和上下文样本，通过Skip-Gram或CBOW理解“出现在相似上下文中的词可能具有相似表示”，再使用负采样降低全词表预测的计算负担。基础应用重点不是训练大规模词向量，而是能读取和诊断数据管道，并加载来源与许可清晰的预训练词向量，完成近邻查询、语义类比和词表外分析。fastText和字节对编码作为解决稀有词与子词问题的基础工具，要求理解思想和样例，不追求完整工业级实现。</w:t>
      </w:r>
    </w:p>
    <w:p w14:paraId="31485B50">
      <w:pPr>
        <w:pStyle w:val="168"/>
      </w:pPr>
      <w:r>
        <w:t>2. 知识内容与理解要求</w:t>
      </w:r>
    </w:p>
    <w:p w14:paraId="46550AFD">
      <w:pPr>
        <w:pStyle w:val="164"/>
      </w:pPr>
      <w:r>
        <w:t>学生应理解词元、词表、索引和独热向量的关系，知道独热表示的内积不能反映语义。Skip-Gram根据中心词预测上下文，CBOW根据上下文预测中心词，二者通过两个嵌入表和条件概率目标学习分布式表示；负采样把大规模多分类近似为正样本与若干噪声词的二分类，噪声分布和采样数量影响效率与表示。数据部分覆盖高频词下采样、随机窗口、中心词—上下文对、负样本生成、变长样本填充和掩码。应用部分掌握余弦相似度、最近邻和向量类比，理解这些内在评测只能观察部分几何性质。子词部分了解fastText利用字符n元组改善稀有词表示，字节对编码通过反复合并高频符号构造子词词表，并认识中文分词和不同语言形态带来的差异。</w:t>
      </w:r>
    </w:p>
    <w:p w14:paraId="53CD0E42">
      <w:pPr>
        <w:pStyle w:val="168"/>
      </w:pPr>
      <w:r>
        <w:t>3. 实践流程与能力要求</w:t>
      </w:r>
    </w:p>
    <w:p w14:paraId="4001A1BE">
      <w:pPr>
        <w:pStyle w:val="164"/>
      </w:pPr>
      <w:r>
        <w:t>实践从语料许可、编码、清洗和词频统计开始，学生建立特殊词元和最小频次策略，比较下采样前后高频功能词比例。随后生成中心词、上下文和负样本，随机抽取样本逐项核查窗口范围、正负标签、填充与掩码；构建嵌入层和批量矩阵乘法，先用小张量验证输出形状和损失，再在受控语料上短时训练Skip-Gram。预训练向量实验记录文件版本、词表规模和维度，实现给定词的最近邻与类比，选择既有成功也有失败的查询，并比较大小写、词形、专有名词和低频词。最后用字符片段或简化BPE步骤展示未知词如何被拆分，统计不同词表大小对序列长度和未知词比例的影响。所有实验固定种子并保存词元—索引映射。</w:t>
      </w:r>
    </w:p>
    <w:p w14:paraId="62C2CEB4">
      <w:pPr>
        <w:pStyle w:val="168"/>
      </w:pPr>
      <w:r>
        <w:t>4. 教学重点、难点与突破策略</w:t>
      </w:r>
    </w:p>
    <w:p w14:paraId="50D3CB49">
      <w:pPr>
        <w:pStyle w:val="164"/>
      </w:pPr>
      <w:r>
        <w:t>重点是中心词与上下文、两个嵌入矩阵、负采样数据、余弦相似度、预训练向量加载以及子词思想。难点包括把Skip-Gram的概率目标映射到批量张量，区分上下文词和负样本标签，理解掩码为何不能让填充项进入损失，处理词表版本与向量文件不匹配，以及避免把向量近邻直接解释为稳定事实。教师使用二维玩具词表、滑动窗口卡片和一条样本的完整张量流突破难点；故意将正样本混入负样本、忽略掩码或打乱词索引，让学生从损失不降和近邻异常定位问题。对BPE使用短字符串手工执行若干轮合并，使学生看到词表大小与序列长度的权衡，而不是只记算法名称。</w:t>
      </w:r>
    </w:p>
    <w:p w14:paraId="1D350047">
      <w:pPr>
        <w:pStyle w:val="168"/>
      </w:pPr>
      <w:r>
        <w:t>5. 学习证据与质量标准</w:t>
      </w:r>
    </w:p>
    <w:p w14:paraId="6DED8194">
      <w:pPr>
        <w:pStyle w:val="164"/>
      </w:pPr>
      <w:r>
        <w:t>证据包括语料来源与许可、词频和下采样统计、窗口样例、正负样本与掩码检查、嵌入张量形状测试、训练曲线、预训练向量版本、最近邻与类比结果、BPE合并记录和失败分析。最低门槛是同一词表在训练、保存和查询阶段索引一致，负样本不与当前正上下文重合，填充位置不计入损失，余弦相似度计算正确。学生不能只列出若干看似合理的近邻，应预先给出查询集合并报告失败、词表外和偏见样例；不同模型或维度比较需说明语料和预算差异。若预训练文件无法完整复现训练过程，应明确它是外部资产，记录来源、哈希、许可和已知说明，而不是把其质量归功于本项目。</w:t>
      </w:r>
    </w:p>
    <w:p w14:paraId="4300E2E0">
      <w:pPr>
        <w:pStyle w:val="168"/>
      </w:pPr>
      <w:r>
        <w:t>6. 职业素养与价值要求</w:t>
      </w:r>
    </w:p>
    <w:p w14:paraId="291F1F6D">
      <w:pPr>
        <w:pStyle w:val="164"/>
      </w:pPr>
      <w:r>
        <w:t>文本语料可能包含版权作品、聊天记录和身份信息，学生只使用公开许可、学校授权或充分脱敏的数据，不把原始敏感文本上传到公共服务。词向量会吸收语料中的社会关联，近邻和类比可能呈现性别、职业、地域或群体偏见；学生应把这些结果视为需要审查的模型行为，而不是客观真理。内在相似度高也不等于下游任务必然有效，低频语言、方言和专业术语的覆盖不足应如实说明。项目引用语料和预训练权重来源，保留原始版本，不选择性删除不利查询；展示敏感示例时采用最小必要和去标识化方式。通过对成功与失败并列报告，建立尊重版权、多样性和证据边界的自然语言处理规范。</w:t>
      </w:r>
    </w:p>
    <w:p w14:paraId="32D330A7">
      <w:pPr>
        <w:pStyle w:val="167"/>
      </w:pPr>
      <w:r>
        <w:t>（九）M9 BERT预训练与上下文表示基础（文本预训练表示（二））</w:t>
      </w:r>
    </w:p>
    <w:p w14:paraId="51883530">
      <w:pPr>
        <w:pStyle w:val="165"/>
      </w:pPr>
      <w:r>
        <w:t>本模块安排</w:t>
      </w:r>
      <w:r>
        <w:rPr>
          <w:rFonts w:hint="eastAsia"/>
          <w:lang w:val="en-US" w:eastAsia="zh-CN"/>
        </w:rPr>
        <w:t>3</w:t>
      </w:r>
      <w:r>
        <w:t>学时理论、</w:t>
      </w:r>
      <w:r>
        <w:rPr>
          <w:rFonts w:hint="eastAsia"/>
          <w:lang w:val="en-US" w:eastAsia="zh-CN"/>
        </w:rPr>
        <w:t>3</w:t>
      </w:r>
      <w:r>
        <w:t>学时实操。主要专题为：上下文相关表示；BERT输入；词元/片段/位置嵌入；编码器接口；掩蔽语言模型；下一句预测；预训练数据；上下文向量提取。核心学习任务为：完成“上下文表示观察站”：BERT输入构造、MLM/NSP样本检查、小模型运行、掩蔽词预测、上下文向量对比和模型说明卡。</w:t>
      </w:r>
    </w:p>
    <w:p w14:paraId="20FEB62A">
      <w:pPr>
        <w:pStyle w:val="168"/>
      </w:pPr>
      <w:r>
        <w:t>1. 教学定位与任务情境</w:t>
      </w:r>
    </w:p>
    <w:p w14:paraId="48497C6F">
      <w:pPr>
        <w:pStyle w:val="164"/>
      </w:pPr>
      <w:r>
        <w:t>本模块是文本预训练表示应用序列的第二部分，目标不是训练大规模语言模型，也不越界讲授情感分类、自然语言推断等下游微调，而是让学生能够正确构造BERT预训练输入、理解两个预训练任务并安全地使用上下文表示。任务情境是建设一个“上下文表示观察站”：对含多义词或指代关系的短句进行词元化，构造单句和句对输入，加载教师提供的小型BERT或来源可靠的预训练检查点，观察掩蔽词预测和同一词元在不同语境中的向量变化。教师只提供最小的Transformer编码器接口桥接，说明输入、有效长度和输出形状；多头注意力推导与完整Transformer架构不作为本模块考核内容，以免偏离文本预训练表示预训练主线。</w:t>
      </w:r>
    </w:p>
    <w:p w14:paraId="18B45C96">
      <w:pPr>
        <w:pStyle w:val="168"/>
      </w:pPr>
      <w:r>
        <w:t>2. 知识内容与理解要求</w:t>
      </w:r>
    </w:p>
    <w:p w14:paraId="188E5169">
      <w:pPr>
        <w:pStyle w:val="164"/>
      </w:pPr>
      <w:r>
        <w:t>学生应理解静态词向量对一词多义表达有限，上下文模型根据整段输入生成词元表示。BERT输入由词元嵌入、片段嵌入和位置嵌入相加构成，使用CLS、SEP、MASK等特殊词元，句对通过片段标识区分；有效长度用于避免填充位置参与编码。掩蔽语言模型在选定位置恢复原词，数据构造通常对一定比例词元进行掩蔽、随机替换或保持，损失只在预测位置计算。下一句预测判断两个句子是否相邻，用于课程中的预训练示例学习句间关系；学生应知道后续模型可能采用不同目标，但本课程以所述基础机制为评价边界。BERT编码器输出每个位置的上下文向量，CLS可作为整体序列表示，词表、隐藏维度、层数和最大长度必须与检查点配置一致。</w:t>
      </w:r>
    </w:p>
    <w:p w14:paraId="3BD70A64">
      <w:pPr>
        <w:pStyle w:val="168"/>
      </w:pPr>
      <w:r>
        <w:t>3. 实践流程与能力要求</w:t>
      </w:r>
    </w:p>
    <w:p w14:paraId="48DA3490">
      <w:pPr>
        <w:pStyle w:val="164"/>
      </w:pPr>
      <w:r>
        <w:t>实践一用极小词表手工构造单句和句对，逐项检查token_ids、segments、valid_len以及MLM位置和标签；针对填充、截断和特殊词元建立断言。实践二从经授权的短文本语料中按段落生成正负句对和掩蔽样本，统计句长、掩蔽比例、随机替换比例和正负平衡，抽样回译为可读文本检查错位。实践三加载教师提供的小型BERT完成一次前向与损失计算，记录编码输出、MLM输出和NSP输出形状；算力允许时进行短时预训练观察损失，否则使用固定检查点复现实验。实践四选择一组多义词句子和掩蔽句，提取指定位置向量，计算不同语境相似度并可视化，同时报告掩蔽预测的前若干候选。学生比较静态词向量与上下文向量，但不把小样本图形当作普遍语言结论。</w:t>
      </w:r>
    </w:p>
    <w:p w14:paraId="53B0C7F3">
      <w:pPr>
        <w:pStyle w:val="168"/>
      </w:pPr>
      <w:r>
        <w:t>4. 教学重点、难点与突破策略</w:t>
      </w:r>
    </w:p>
    <w:p w14:paraId="27034FD3">
      <w:pPr>
        <w:pStyle w:val="164"/>
      </w:pPr>
      <w:r>
        <w:t>重点是特殊词元、三类输入嵌入、片段标识、有效长度、MLM预测位置与标签、NSP句对，以及检查点输出的上下文表示。难点包括子词与原词位置对齐，随机掩蔽导致实验不可复查，MLM损失错误地覆盖全部位置，句对截断破坏SEP边界，词表或配置与权重不匹配，以及把CLS或余弦相似度作过度语义解释。教师采用颜色标注的输入带、位置索引表和三句最小样例逐项映射张量；故意交换片段标识、漏记valid_len、把MASK标签偏移一位，让学生用可读样本和自动测试定位。训练前先固定随机种子并打印少量样本，模型使用前核验配置、词表和检查点来源，防止将数据错误误判为模型能力不足。</w:t>
      </w:r>
    </w:p>
    <w:p w14:paraId="154214E0">
      <w:pPr>
        <w:pStyle w:val="168"/>
      </w:pPr>
      <w:r>
        <w:t>5. 学习证据与质量标准</w:t>
      </w:r>
    </w:p>
    <w:p w14:paraId="25CEB197">
      <w:pPr>
        <w:pStyle w:val="164"/>
      </w:pPr>
      <w:r>
        <w:t>证据包括语料与检查点来源、词表和配置、可读的输入—标签样例、特殊词元和有效长度测试、掩蔽比例统计、模型各输出形状、训练或复现日志、掩蔽候选表、上下文相似度矩阵、失败样例、算力记录和模型说明卡。最低门槛是CLS/SEP位置正确，片段标识与句子对应，填充不进入有效编码，MLM只评价指定位置，权重与配置能够成功对齐。上下文表示分析应预先选定样例，同时展示符合直觉和不符合直觉的结果，明确余弦距离不是事实正确性、因果关系或公平性的证明。若使用外部检查点，学生应能够从空环境加载并复现固定输入输出，记录版本和哈希，不得声称完成了其大规模预训练。</w:t>
      </w:r>
    </w:p>
    <w:p w14:paraId="479028AE">
      <w:pPr>
        <w:pStyle w:val="168"/>
      </w:pPr>
      <w:r>
        <w:t>6. 职业素养与价值要求</w:t>
      </w:r>
    </w:p>
    <w:p w14:paraId="62D412A7">
      <w:pPr>
        <w:pStyle w:val="164"/>
      </w:pPr>
      <w:r>
        <w:t>预训练模型的能力来自大规模语料，也可能携带其中的个人信息、版权争议、历史偏见和有害关联。学生不得把包含真实姓名、联系方式或私密对话的文本用于掩蔽预测演示，不利用模型尝试恢复敏感信息；引用预训练模型时说明许可证、来源、版本和模型卡。模型给出的高概率候选只是统计预测，不能用于事实认定或高风险决策；上下文向量的相似也不等于两个群体、人物或事件具有本质关系。课程不以堆叠层数和耗费算力作为成果，优先使用小模型、固定检查点、缓存和短实验，并报告运行时间与设备。通过不越界夸大、保留人工审查和如实说明未知训练数据，形成负责任使用预训练语言模型的职业底线。</w:t>
      </w:r>
    </w:p>
    <w:p w14:paraId="3D562099">
      <w:pPr>
        <w:pStyle w:val="166"/>
      </w:pPr>
      <w:r>
        <w:t>四、学习产出与学业测评</w:t>
      </w:r>
    </w:p>
    <w:p w14:paraId="2C2D750F">
      <w:pPr>
        <w:pStyle w:val="167"/>
      </w:pPr>
      <w:r>
        <w:t>（一）各模块学习产出评价</w:t>
      </w:r>
    </w:p>
    <w:p w14:paraId="66F0945E">
      <w:pPr>
        <w:pStyle w:val="170"/>
      </w:pPr>
      <w:r>
        <w:t>表16  各模块学习产出评价</w:t>
      </w:r>
    </w:p>
    <w:tbl>
      <w:tblPr>
        <w:tblStyle w:val="32"/>
        <w:tblW w:w="8300"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600"/>
        <w:gridCol w:w="1250"/>
        <w:gridCol w:w="2100"/>
        <w:gridCol w:w="3200"/>
        <w:gridCol w:w="1150"/>
      </w:tblGrid>
      <w:tr w14:paraId="60734E8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00" w:type="dxa"/>
            <w:tcBorders>
              <w:tl2br w:val="nil"/>
              <w:tr2bl w:val="nil"/>
            </w:tcBorders>
            <w:shd w:val="clear" w:color="auto" w:fill="E7E6E6"/>
            <w:tcMar>
              <w:top w:w="100" w:type="dxa"/>
              <w:left w:w="100" w:type="dxa"/>
              <w:bottom w:w="100" w:type="dxa"/>
              <w:right w:w="100" w:type="dxa"/>
            </w:tcMar>
            <w:vAlign w:val="center"/>
          </w:tcPr>
          <w:p w14:paraId="3678C4C6">
            <w:pPr>
              <w:pStyle w:val="171"/>
              <w:keepNext w:val="0"/>
              <w:keepLines w:val="0"/>
              <w:adjustRightInd w:val="0"/>
              <w:snapToGrid w:val="0"/>
              <w:spacing w:line="300" w:lineRule="exact"/>
              <w:jc w:val="center"/>
              <w:rPr>
                <w:rFonts w:ascii="宋体" w:hAnsi="宋体" w:eastAsia="宋体" w:cs="宋体"/>
                <w:bCs/>
                <w:sz w:val="15"/>
                <w:szCs w:val="15"/>
                <w:lang w:val="en-AU"/>
              </w:rPr>
            </w:pPr>
            <w:r>
              <w:rPr>
                <w:rFonts w:hint="eastAsia" w:ascii="Arial" w:hAnsi="Arial" w:eastAsia="Heiti SC" w:cs="Arial"/>
                <w:b/>
                <w:bCs/>
                <w:sz w:val="17"/>
                <w:szCs w:val="15"/>
                <w:lang w:val="en-AU"/>
              </w:rPr>
              <w:t>模块</w:t>
            </w:r>
          </w:p>
        </w:tc>
        <w:tc>
          <w:tcPr>
            <w:tcW w:w="1250" w:type="dxa"/>
            <w:tcBorders>
              <w:tl2br w:val="nil"/>
              <w:tr2bl w:val="nil"/>
            </w:tcBorders>
            <w:shd w:val="clear" w:color="auto" w:fill="E7E6E6"/>
            <w:tcMar>
              <w:top w:w="100" w:type="dxa"/>
              <w:left w:w="100" w:type="dxa"/>
              <w:bottom w:w="100" w:type="dxa"/>
              <w:right w:w="100" w:type="dxa"/>
            </w:tcMar>
            <w:vAlign w:val="center"/>
          </w:tcPr>
          <w:p w14:paraId="5221A59D">
            <w:pPr>
              <w:pStyle w:val="171"/>
              <w:keepNext w:val="0"/>
              <w:keepLines w:val="0"/>
              <w:adjustRightInd w:val="0"/>
              <w:snapToGrid w:val="0"/>
              <w:spacing w:line="300" w:lineRule="exact"/>
              <w:jc w:val="center"/>
              <w:rPr>
                <w:rFonts w:ascii="宋体" w:hAnsi="宋体" w:eastAsia="宋体" w:cs="宋体"/>
                <w:bCs/>
                <w:sz w:val="15"/>
                <w:szCs w:val="15"/>
                <w:lang w:val="en-AU"/>
              </w:rPr>
            </w:pPr>
            <w:r>
              <w:rPr>
                <w:rFonts w:hint="eastAsia" w:ascii="Arial" w:hAnsi="Arial" w:eastAsia="Heiti SC" w:cs="Arial"/>
                <w:b/>
                <w:bCs/>
                <w:sz w:val="17"/>
                <w:szCs w:val="15"/>
                <w:lang w:val="en-AU"/>
              </w:rPr>
              <w:t>学习产出</w:t>
            </w:r>
          </w:p>
        </w:tc>
        <w:tc>
          <w:tcPr>
            <w:tcW w:w="2100" w:type="dxa"/>
            <w:tcBorders>
              <w:tl2br w:val="nil"/>
              <w:tr2bl w:val="nil"/>
            </w:tcBorders>
            <w:shd w:val="clear" w:color="auto" w:fill="E7E6E6"/>
            <w:tcMar>
              <w:top w:w="100" w:type="dxa"/>
              <w:left w:w="100" w:type="dxa"/>
              <w:bottom w:w="100" w:type="dxa"/>
              <w:right w:w="100" w:type="dxa"/>
            </w:tcMar>
            <w:vAlign w:val="center"/>
          </w:tcPr>
          <w:p w14:paraId="6FDB4F06">
            <w:pPr>
              <w:pStyle w:val="171"/>
              <w:keepNext w:val="0"/>
              <w:keepLines w:val="0"/>
              <w:adjustRightInd w:val="0"/>
              <w:snapToGrid w:val="0"/>
              <w:spacing w:line="300" w:lineRule="exact"/>
              <w:jc w:val="center"/>
              <w:rPr>
                <w:rFonts w:ascii="宋体" w:hAnsi="宋体" w:eastAsia="宋体" w:cs="宋体"/>
                <w:bCs/>
                <w:sz w:val="15"/>
                <w:szCs w:val="15"/>
              </w:rPr>
            </w:pPr>
            <w:r>
              <w:rPr>
                <w:rFonts w:hint="eastAsia" w:ascii="Arial" w:hAnsi="Arial" w:eastAsia="Heiti SC" w:cs="Arial"/>
                <w:b/>
                <w:bCs/>
                <w:sz w:val="17"/>
                <w:szCs w:val="15"/>
                <w:lang w:val="en-AU"/>
              </w:rPr>
              <w:t>评</w:t>
            </w:r>
            <w:r>
              <w:rPr>
                <w:rFonts w:hint="eastAsia" w:ascii="Arial" w:hAnsi="Arial" w:eastAsia="Heiti SC" w:cs="Arial"/>
                <w:b/>
                <w:bCs/>
                <w:sz w:val="17"/>
                <w:szCs w:val="15"/>
              </w:rPr>
              <w:t>价</w:t>
            </w:r>
            <w:r>
              <w:rPr>
                <w:rFonts w:hint="eastAsia" w:ascii="Arial" w:hAnsi="Arial" w:eastAsia="Heiti SC" w:cs="Arial"/>
                <w:b/>
                <w:bCs/>
                <w:sz w:val="17"/>
                <w:szCs w:val="15"/>
                <w:lang w:val="en-AU"/>
              </w:rPr>
              <w:t>内容</w:t>
            </w:r>
            <w:r>
              <w:rPr>
                <w:rFonts w:hint="eastAsia" w:ascii="Arial" w:hAnsi="Arial" w:eastAsia="Heiti SC" w:cs="Arial"/>
                <w:b/>
                <w:bCs/>
                <w:sz w:val="17"/>
                <w:szCs w:val="15"/>
              </w:rPr>
              <w:t>和标准</w:t>
            </w:r>
          </w:p>
        </w:tc>
        <w:tc>
          <w:tcPr>
            <w:tcW w:w="3200" w:type="dxa"/>
            <w:tcBorders>
              <w:tl2br w:val="nil"/>
              <w:tr2bl w:val="nil"/>
            </w:tcBorders>
            <w:shd w:val="clear" w:color="auto" w:fill="E7E6E6"/>
            <w:tcMar>
              <w:top w:w="100" w:type="dxa"/>
              <w:left w:w="100" w:type="dxa"/>
              <w:bottom w:w="100" w:type="dxa"/>
              <w:right w:w="100" w:type="dxa"/>
            </w:tcMar>
            <w:vAlign w:val="center"/>
          </w:tcPr>
          <w:p w14:paraId="4B7394F6">
            <w:pPr>
              <w:pStyle w:val="171"/>
              <w:keepNext w:val="0"/>
              <w:keepLines w:val="0"/>
              <w:adjustRightInd w:val="0"/>
              <w:snapToGrid w:val="0"/>
              <w:spacing w:line="300" w:lineRule="exact"/>
              <w:jc w:val="center"/>
              <w:rPr>
                <w:rFonts w:ascii="宋体" w:hAnsi="宋体" w:eastAsia="宋体" w:cs="宋体"/>
                <w:bCs/>
                <w:sz w:val="15"/>
                <w:szCs w:val="15"/>
                <w:lang w:val="en-AU"/>
              </w:rPr>
            </w:pPr>
            <w:r>
              <w:rPr>
                <w:rFonts w:hint="eastAsia" w:ascii="Arial" w:hAnsi="Arial" w:eastAsia="Heiti SC" w:cs="Arial"/>
                <w:b/>
                <w:bCs/>
                <w:sz w:val="17"/>
                <w:szCs w:val="15"/>
                <w:lang w:val="en-AU"/>
              </w:rPr>
              <w:t>评</w:t>
            </w:r>
            <w:r>
              <w:rPr>
                <w:rFonts w:hint="eastAsia" w:ascii="Arial" w:hAnsi="Arial" w:eastAsia="Heiti SC" w:cs="Arial"/>
                <w:b/>
                <w:bCs/>
                <w:sz w:val="17"/>
                <w:szCs w:val="15"/>
              </w:rPr>
              <w:t>价</w:t>
            </w:r>
            <w:r>
              <w:rPr>
                <w:rFonts w:hint="eastAsia" w:ascii="Arial" w:hAnsi="Arial" w:eastAsia="Heiti SC" w:cs="Arial"/>
                <w:b/>
                <w:bCs/>
                <w:sz w:val="17"/>
                <w:szCs w:val="15"/>
                <w:lang w:val="en-AU"/>
              </w:rPr>
              <w:t>方法</w:t>
            </w:r>
          </w:p>
          <w:p w14:paraId="2C267DE8">
            <w:pPr>
              <w:pStyle w:val="171"/>
              <w:keepNext w:val="0"/>
              <w:keepLines w:val="0"/>
              <w:adjustRightInd w:val="0"/>
              <w:snapToGrid w:val="0"/>
              <w:spacing w:line="300" w:lineRule="exact"/>
              <w:jc w:val="center"/>
              <w:rPr>
                <w:rFonts w:ascii="宋体" w:hAnsi="宋体" w:eastAsia="宋体" w:cs="宋体"/>
                <w:bCs/>
                <w:sz w:val="15"/>
                <w:szCs w:val="15"/>
                <w:lang w:val="en-AU"/>
              </w:rPr>
            </w:pPr>
            <w:r>
              <w:rPr>
                <w:rFonts w:hint="eastAsia" w:ascii="Arial" w:hAnsi="Arial" w:eastAsia="Heiti SC" w:cs="Arial"/>
                <w:b/>
                <w:bCs/>
                <w:sz w:val="17"/>
                <w:szCs w:val="15"/>
                <w:lang w:val="en-AU"/>
              </w:rPr>
              <w:t>（场所、设备、软件、各种表格等；评</w:t>
            </w:r>
            <w:r>
              <w:rPr>
                <w:rFonts w:hint="eastAsia" w:ascii="Arial" w:hAnsi="Arial" w:eastAsia="Heiti SC" w:cs="Arial"/>
                <w:b/>
                <w:bCs/>
                <w:sz w:val="17"/>
                <w:szCs w:val="15"/>
              </w:rPr>
              <w:t>价</w:t>
            </w:r>
            <w:r>
              <w:rPr>
                <w:rFonts w:hint="eastAsia" w:ascii="Arial" w:hAnsi="Arial" w:eastAsia="Heiti SC" w:cs="Arial"/>
                <w:b/>
                <w:bCs/>
                <w:sz w:val="17"/>
                <w:szCs w:val="15"/>
                <w:lang w:val="en-AU"/>
              </w:rPr>
              <w:t>主体）</w:t>
            </w:r>
          </w:p>
        </w:tc>
        <w:tc>
          <w:tcPr>
            <w:tcW w:w="1150" w:type="dxa"/>
            <w:tcBorders>
              <w:tl2br w:val="nil"/>
              <w:tr2bl w:val="nil"/>
            </w:tcBorders>
            <w:shd w:val="clear" w:color="auto" w:fill="E7E6E6"/>
            <w:tcMar>
              <w:top w:w="100" w:type="dxa"/>
              <w:left w:w="100" w:type="dxa"/>
              <w:bottom w:w="100" w:type="dxa"/>
              <w:right w:w="100" w:type="dxa"/>
            </w:tcMar>
            <w:vAlign w:val="center"/>
          </w:tcPr>
          <w:p w14:paraId="5BB8ED45">
            <w:pPr>
              <w:pStyle w:val="171"/>
              <w:keepNext w:val="0"/>
              <w:keepLines w:val="0"/>
              <w:adjustRightInd w:val="0"/>
              <w:snapToGrid w:val="0"/>
              <w:spacing w:line="300" w:lineRule="exact"/>
              <w:jc w:val="center"/>
              <w:rPr>
                <w:rFonts w:ascii="宋体" w:hAnsi="宋体" w:eastAsia="宋体" w:cs="宋体"/>
                <w:bCs/>
                <w:sz w:val="15"/>
                <w:szCs w:val="15"/>
                <w:lang w:val="en-AU"/>
              </w:rPr>
            </w:pPr>
            <w:r>
              <w:rPr>
                <w:rFonts w:hint="eastAsia" w:ascii="Arial" w:hAnsi="Arial" w:eastAsia="Heiti SC" w:cs="Arial"/>
                <w:b/>
                <w:bCs/>
                <w:sz w:val="17"/>
                <w:szCs w:val="15"/>
              </w:rPr>
              <w:t>分值</w:t>
            </w:r>
          </w:p>
        </w:tc>
      </w:tr>
      <w:tr w14:paraId="0EFB0C7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00" w:type="dxa"/>
            <w:tcMar>
              <w:top w:w="100" w:type="dxa"/>
              <w:left w:w="100" w:type="dxa"/>
              <w:bottom w:w="100" w:type="dxa"/>
              <w:right w:w="100" w:type="dxa"/>
            </w:tcMar>
            <w:vAlign w:val="center"/>
          </w:tcPr>
          <w:p w14:paraId="5B275A8C">
            <w:pPr>
              <w:pStyle w:val="171"/>
              <w:keepNext w:val="0"/>
              <w:keepLines w:val="0"/>
              <w:jc w:val="left"/>
            </w:pPr>
            <w:r>
              <w:rPr>
                <w:rFonts w:ascii="Times New Roman" w:hAnsi="Times New Roman" w:eastAsia="Songti SC" w:cs="Times New Roman"/>
                <w:b w:val="0"/>
                <w:sz w:val="17"/>
              </w:rPr>
              <w:t>M1</w:t>
            </w:r>
          </w:p>
        </w:tc>
        <w:tc>
          <w:tcPr>
            <w:tcW w:w="1250" w:type="dxa"/>
            <w:tcMar>
              <w:top w:w="100" w:type="dxa"/>
              <w:left w:w="100" w:type="dxa"/>
              <w:bottom w:w="100" w:type="dxa"/>
              <w:right w:w="100" w:type="dxa"/>
            </w:tcMar>
            <w:vAlign w:val="center"/>
          </w:tcPr>
          <w:p w14:paraId="1EDF3FAA">
            <w:pPr>
              <w:pStyle w:val="171"/>
              <w:jc w:val="left"/>
            </w:pPr>
            <w:r>
              <w:rPr>
                <w:rFonts w:ascii="Times New Roman" w:hAnsi="Times New Roman" w:eastAsia="Songti SC" w:cs="Times New Roman"/>
                <w:b w:val="0"/>
                <w:sz w:val="16"/>
              </w:rPr>
              <w:t>一套可运行的预备知识 Notebook、数据预处理说明、梯度校验记录和概率模拟报告。</w:t>
            </w:r>
          </w:p>
        </w:tc>
        <w:tc>
          <w:tcPr>
            <w:tcW w:w="2100" w:type="dxa"/>
            <w:tcMar>
              <w:top w:w="100" w:type="dxa"/>
              <w:left w:w="100" w:type="dxa"/>
              <w:bottom w:w="100" w:type="dxa"/>
              <w:right w:w="100" w:type="dxa"/>
            </w:tcMar>
            <w:vAlign w:val="center"/>
          </w:tcPr>
          <w:p w14:paraId="5EF3608B">
            <w:pPr>
              <w:pStyle w:val="171"/>
              <w:jc w:val="left"/>
            </w:pPr>
            <w:r>
              <w:rPr>
                <w:rFonts w:ascii="Times New Roman" w:hAnsi="Times New Roman" w:eastAsia="Songti SC" w:cs="Times New Roman"/>
                <w:b w:val="0"/>
                <w:sz w:val="16"/>
              </w:rPr>
              <w:t>张量形状与数值结果正确；缺失值与类别变量处理有依据；手工推导与自动微分相互验证；代码含必要断言；报告能够解释误差来源和统计波动。</w:t>
            </w:r>
          </w:p>
        </w:tc>
        <w:tc>
          <w:tcPr>
            <w:tcW w:w="3200" w:type="dxa"/>
            <w:tcMar>
              <w:top w:w="100" w:type="dxa"/>
              <w:left w:w="100" w:type="dxa"/>
              <w:bottom w:w="100" w:type="dxa"/>
              <w:right w:w="100" w:type="dxa"/>
            </w:tcMar>
            <w:vAlign w:val="center"/>
          </w:tcPr>
          <w:p w14:paraId="7E455902">
            <w:pPr>
              <w:pStyle w:val="171"/>
              <w:jc w:val="left"/>
            </w:pPr>
            <w:r>
              <w:rPr>
                <w:rFonts w:ascii="Times New Roman" w:hAnsi="Times New Roman" w:eastAsia="Songti SC" w:cs="Times New Roman"/>
                <w:b w:val="0"/>
                <w:sz w:val="16"/>
              </w:rPr>
              <w:t>机房环境；PyTorch、pandas、Jupyter；教师评价60%、同伴复核20%、学生自评20%；代码运行、口头追问和文档检查相结合。</w:t>
            </w:r>
          </w:p>
        </w:tc>
        <w:tc>
          <w:tcPr>
            <w:tcW w:w="1150" w:type="dxa"/>
            <w:tcMar>
              <w:top w:w="100" w:type="dxa"/>
              <w:left w:w="100" w:type="dxa"/>
              <w:bottom w:w="100" w:type="dxa"/>
              <w:right w:w="100" w:type="dxa"/>
            </w:tcMar>
            <w:vAlign w:val="center"/>
          </w:tcPr>
          <w:p w14:paraId="11EB8A68">
            <w:pPr>
              <w:pStyle w:val="171"/>
              <w:keepNext w:val="0"/>
              <w:keepLines w:val="0"/>
              <w:jc w:val="left"/>
            </w:pPr>
            <w:r>
              <w:rPr>
                <w:rFonts w:ascii="Times New Roman" w:hAnsi="Times New Roman" w:eastAsia="Songti SC" w:cs="Times New Roman"/>
                <w:b w:val="0"/>
                <w:sz w:val="17"/>
              </w:rPr>
              <w:t>4</w:t>
            </w:r>
          </w:p>
        </w:tc>
      </w:tr>
      <w:tr w14:paraId="6F09F4F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00" w:type="dxa"/>
            <w:tcMar>
              <w:top w:w="100" w:type="dxa"/>
              <w:left w:w="100" w:type="dxa"/>
              <w:bottom w:w="100" w:type="dxa"/>
              <w:right w:w="100" w:type="dxa"/>
            </w:tcMar>
            <w:vAlign w:val="center"/>
          </w:tcPr>
          <w:p w14:paraId="5F1CF49A">
            <w:pPr>
              <w:pStyle w:val="171"/>
              <w:jc w:val="center"/>
            </w:pPr>
            <w:r>
              <w:rPr>
                <w:rFonts w:ascii="Times New Roman" w:hAnsi="Times New Roman" w:eastAsia="Songti SC" w:cs="Times New Roman"/>
                <w:b w:val="0"/>
                <w:sz w:val="16"/>
              </w:rPr>
              <w:t>M2</w:t>
            </w:r>
          </w:p>
        </w:tc>
        <w:tc>
          <w:tcPr>
            <w:tcW w:w="1250" w:type="dxa"/>
            <w:tcMar>
              <w:top w:w="100" w:type="dxa"/>
              <w:left w:w="100" w:type="dxa"/>
              <w:bottom w:w="100" w:type="dxa"/>
              <w:right w:w="100" w:type="dxa"/>
            </w:tcMar>
            <w:vAlign w:val="center"/>
          </w:tcPr>
          <w:p w14:paraId="01C8C4C4">
            <w:pPr>
              <w:pStyle w:val="171"/>
              <w:jc w:val="left"/>
            </w:pPr>
            <w:r>
              <w:rPr>
                <w:rFonts w:ascii="Times New Roman" w:hAnsi="Times New Roman" w:eastAsia="Songti SC" w:cs="Times New Roman"/>
                <w:b w:val="0"/>
                <w:sz w:val="16"/>
              </w:rPr>
              <w:t>线性回归参数恢复实验、公开十分类图像数据集 两版分类器、性能对比表和训练分析报告。</w:t>
            </w:r>
          </w:p>
        </w:tc>
        <w:tc>
          <w:tcPr>
            <w:tcW w:w="2100" w:type="dxa"/>
            <w:tcMar>
              <w:top w:w="100" w:type="dxa"/>
              <w:left w:w="100" w:type="dxa"/>
              <w:bottom w:w="100" w:type="dxa"/>
              <w:right w:w="100" w:type="dxa"/>
            </w:tcMar>
            <w:vAlign w:val="center"/>
          </w:tcPr>
          <w:p w14:paraId="709B8EA9">
            <w:pPr>
              <w:pStyle w:val="171"/>
              <w:jc w:val="left"/>
            </w:pPr>
            <w:r>
              <w:rPr>
                <w:rFonts w:ascii="Times New Roman" w:hAnsi="Times New Roman" w:eastAsia="Songti SC" w:cs="Times New Roman"/>
                <w:b w:val="0"/>
                <w:sz w:val="16"/>
              </w:rPr>
              <w:t>训练循环顺序正确；损失下降且参数误差可解释；分类器输出、损失和标签匹配；从零版与框架版功能对应；报告含曲线、错误样本与超参数对照。</w:t>
            </w:r>
          </w:p>
        </w:tc>
        <w:tc>
          <w:tcPr>
            <w:tcW w:w="3200" w:type="dxa"/>
            <w:tcMar>
              <w:top w:w="100" w:type="dxa"/>
              <w:left w:w="100" w:type="dxa"/>
              <w:bottom w:w="100" w:type="dxa"/>
              <w:right w:w="100" w:type="dxa"/>
            </w:tcMar>
            <w:vAlign w:val="center"/>
          </w:tcPr>
          <w:p w14:paraId="32EEC99A">
            <w:pPr>
              <w:pStyle w:val="171"/>
              <w:jc w:val="left"/>
            </w:pPr>
            <w:r>
              <w:rPr>
                <w:rFonts w:ascii="Times New Roman" w:hAnsi="Times New Roman" w:eastAsia="Songti SC" w:cs="Times New Roman"/>
                <w:b w:val="0"/>
                <w:sz w:val="16"/>
              </w:rPr>
              <w:t>机房实操与代码走查；教师评价50%、自动测试20%、同伴评审20%、自评10%；采用随机改参复测和五分钟技术答辩。</w:t>
            </w:r>
          </w:p>
        </w:tc>
        <w:tc>
          <w:tcPr>
            <w:tcW w:w="1150" w:type="dxa"/>
            <w:tcMar>
              <w:top w:w="100" w:type="dxa"/>
              <w:left w:w="100" w:type="dxa"/>
              <w:bottom w:w="100" w:type="dxa"/>
              <w:right w:w="100" w:type="dxa"/>
            </w:tcMar>
            <w:vAlign w:val="center"/>
          </w:tcPr>
          <w:p w14:paraId="3B777B23">
            <w:pPr>
              <w:pStyle w:val="171"/>
              <w:keepNext w:val="0"/>
              <w:keepLines w:val="0"/>
              <w:jc w:val="left"/>
            </w:pPr>
            <w:r>
              <w:rPr>
                <w:rFonts w:ascii="Times New Roman" w:hAnsi="Times New Roman" w:eastAsia="Songti SC" w:cs="Times New Roman"/>
                <w:b w:val="0"/>
                <w:sz w:val="17"/>
              </w:rPr>
              <w:t>6</w:t>
            </w:r>
          </w:p>
        </w:tc>
      </w:tr>
      <w:tr w14:paraId="0211AC7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00" w:type="dxa"/>
            <w:tcMar>
              <w:top w:w="100" w:type="dxa"/>
              <w:left w:w="100" w:type="dxa"/>
              <w:bottom w:w="100" w:type="dxa"/>
              <w:right w:w="100" w:type="dxa"/>
            </w:tcMar>
            <w:vAlign w:val="center"/>
          </w:tcPr>
          <w:p w14:paraId="042C199C">
            <w:pPr>
              <w:pStyle w:val="171"/>
              <w:jc w:val="center"/>
            </w:pPr>
            <w:r>
              <w:rPr>
                <w:rFonts w:ascii="Times New Roman" w:hAnsi="Times New Roman" w:eastAsia="Songti SC" w:cs="Times New Roman"/>
                <w:b w:val="0"/>
                <w:sz w:val="16"/>
              </w:rPr>
              <w:t>M3</w:t>
            </w:r>
          </w:p>
        </w:tc>
        <w:tc>
          <w:tcPr>
            <w:tcW w:w="1250" w:type="dxa"/>
            <w:tcMar>
              <w:top w:w="100" w:type="dxa"/>
              <w:left w:w="100" w:type="dxa"/>
              <w:bottom w:w="100" w:type="dxa"/>
              <w:right w:w="100" w:type="dxa"/>
            </w:tcMar>
            <w:vAlign w:val="center"/>
          </w:tcPr>
          <w:p w14:paraId="02B90AB8">
            <w:pPr>
              <w:pStyle w:val="171"/>
              <w:jc w:val="left"/>
            </w:pPr>
            <w:r>
              <w:rPr>
                <w:rFonts w:ascii="Times New Roman" w:hAnsi="Times New Roman" w:eastAsia="Songti SC" w:cs="Times New Roman"/>
                <w:b w:val="0"/>
                <w:sz w:val="16"/>
              </w:rPr>
              <w:t>MLP 实验包、泛化诊断曲线、正则化消融表、结构化数据回归预测流水线、模型卡和项目答辩材料。</w:t>
            </w:r>
          </w:p>
        </w:tc>
        <w:tc>
          <w:tcPr>
            <w:tcW w:w="2100" w:type="dxa"/>
            <w:tcMar>
              <w:top w:w="100" w:type="dxa"/>
              <w:left w:w="100" w:type="dxa"/>
              <w:bottom w:w="100" w:type="dxa"/>
              <w:right w:w="100" w:type="dxa"/>
            </w:tcMar>
            <w:vAlign w:val="center"/>
          </w:tcPr>
          <w:p w14:paraId="6627C245">
            <w:pPr>
              <w:pStyle w:val="171"/>
              <w:jc w:val="left"/>
            </w:pPr>
            <w:r>
              <w:rPr>
                <w:rFonts w:ascii="Times New Roman" w:hAnsi="Times New Roman" w:eastAsia="Songti SC" w:cs="Times New Roman"/>
                <w:b w:val="0"/>
                <w:sz w:val="16"/>
              </w:rPr>
              <w:t>能够区分欠拟合与过拟合；消融变量控制合理；交叉验证无数据泄漏；预测文件格式正确；模型卡说明数据、指标、限制和风险。</w:t>
            </w:r>
          </w:p>
        </w:tc>
        <w:tc>
          <w:tcPr>
            <w:tcW w:w="3200" w:type="dxa"/>
            <w:tcMar>
              <w:top w:w="100" w:type="dxa"/>
              <w:left w:w="100" w:type="dxa"/>
              <w:bottom w:w="100" w:type="dxa"/>
              <w:right w:w="100" w:type="dxa"/>
            </w:tcMar>
            <w:vAlign w:val="center"/>
          </w:tcPr>
          <w:p w14:paraId="43441795">
            <w:pPr>
              <w:pStyle w:val="171"/>
              <w:jc w:val="left"/>
            </w:pPr>
            <w:r>
              <w:rPr>
                <w:rFonts w:ascii="Times New Roman" w:hAnsi="Times New Roman" w:eastAsia="Songti SC" w:cs="Times New Roman"/>
                <w:b w:val="0"/>
                <w:sz w:val="16"/>
              </w:rPr>
              <w:t>项目制教学；教师评价45%、项目答辩25%、同伴代码审查20%、自评10%；使用固定复现脚本和数据泄漏检查表。</w:t>
            </w:r>
          </w:p>
        </w:tc>
        <w:tc>
          <w:tcPr>
            <w:tcW w:w="1150" w:type="dxa"/>
            <w:tcMar>
              <w:top w:w="100" w:type="dxa"/>
              <w:left w:w="100" w:type="dxa"/>
              <w:bottom w:w="100" w:type="dxa"/>
              <w:right w:w="100" w:type="dxa"/>
            </w:tcMar>
            <w:vAlign w:val="center"/>
          </w:tcPr>
          <w:p w14:paraId="1E962A10">
            <w:pPr>
              <w:pStyle w:val="171"/>
              <w:keepNext w:val="0"/>
              <w:keepLines w:val="0"/>
              <w:jc w:val="left"/>
            </w:pPr>
            <w:r>
              <w:rPr>
                <w:rFonts w:ascii="Times New Roman" w:hAnsi="Times New Roman" w:eastAsia="Songti SC" w:cs="Times New Roman"/>
                <w:b w:val="0"/>
                <w:sz w:val="17"/>
              </w:rPr>
              <w:t>7</w:t>
            </w:r>
          </w:p>
        </w:tc>
      </w:tr>
      <w:tr w14:paraId="05D7955F">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00" w:type="dxa"/>
            <w:tcMar>
              <w:top w:w="100" w:type="dxa"/>
              <w:left w:w="100" w:type="dxa"/>
              <w:bottom w:w="100" w:type="dxa"/>
              <w:right w:w="100" w:type="dxa"/>
            </w:tcMar>
            <w:vAlign w:val="center"/>
          </w:tcPr>
          <w:p w14:paraId="0727E8FF">
            <w:pPr>
              <w:pStyle w:val="171"/>
              <w:jc w:val="center"/>
            </w:pPr>
            <w:r>
              <w:rPr>
                <w:rFonts w:ascii="Times New Roman" w:hAnsi="Times New Roman" w:eastAsia="Songti SC" w:cs="Times New Roman"/>
                <w:b w:val="0"/>
                <w:sz w:val="16"/>
              </w:rPr>
              <w:t>M4</w:t>
            </w:r>
          </w:p>
        </w:tc>
        <w:tc>
          <w:tcPr>
            <w:tcW w:w="1250" w:type="dxa"/>
            <w:tcMar>
              <w:top w:w="100" w:type="dxa"/>
              <w:left w:w="100" w:type="dxa"/>
              <w:bottom w:w="100" w:type="dxa"/>
              <w:right w:w="100" w:type="dxa"/>
            </w:tcMar>
            <w:vAlign w:val="center"/>
          </w:tcPr>
          <w:p w14:paraId="5A74C27A">
            <w:pPr>
              <w:pStyle w:val="171"/>
              <w:jc w:val="left"/>
            </w:pPr>
            <w:r>
              <w:rPr>
                <w:rFonts w:ascii="Times New Roman" w:hAnsi="Times New Roman" w:eastAsia="Songti SC" w:cs="Times New Roman"/>
                <w:b w:val="0"/>
                <w:sz w:val="16"/>
              </w:rPr>
              <w:t>卷积运算测试、边缘检测实验、基础卷积分类网络 模型与检查点、训练曲线、激活图、消融表和项目报告。</w:t>
            </w:r>
          </w:p>
        </w:tc>
        <w:tc>
          <w:tcPr>
            <w:tcW w:w="2100" w:type="dxa"/>
            <w:tcMar>
              <w:top w:w="100" w:type="dxa"/>
              <w:left w:w="100" w:type="dxa"/>
              <w:bottom w:w="100" w:type="dxa"/>
              <w:right w:w="100" w:type="dxa"/>
            </w:tcMar>
            <w:vAlign w:val="center"/>
          </w:tcPr>
          <w:p w14:paraId="28793BC6">
            <w:pPr>
              <w:pStyle w:val="171"/>
              <w:jc w:val="left"/>
            </w:pPr>
            <w:r>
              <w:rPr>
                <w:rFonts w:ascii="Times New Roman" w:hAnsi="Times New Roman" w:eastAsia="Songti SC" w:cs="Times New Roman"/>
                <w:b w:val="0"/>
                <w:sz w:val="16"/>
              </w:rPr>
              <w:t>互相关与汇聚实现数值正确；尺寸推导与运行一致；基础卷积分类网络 训练流程完整；指标高于线性基线且改进有证据；中间特征解释不过度。</w:t>
            </w:r>
          </w:p>
        </w:tc>
        <w:tc>
          <w:tcPr>
            <w:tcW w:w="3200" w:type="dxa"/>
            <w:tcMar>
              <w:top w:w="100" w:type="dxa"/>
              <w:left w:w="100" w:type="dxa"/>
              <w:bottom w:w="100" w:type="dxa"/>
              <w:right w:w="100" w:type="dxa"/>
            </w:tcMar>
            <w:vAlign w:val="center"/>
          </w:tcPr>
          <w:p w14:paraId="6433FC9A">
            <w:pPr>
              <w:pStyle w:val="171"/>
              <w:jc w:val="left"/>
            </w:pPr>
            <w:r>
              <w:rPr>
                <w:rFonts w:ascii="Times New Roman" w:hAnsi="Times New Roman" w:eastAsia="Songti SC" w:cs="Times New Roman"/>
                <w:b w:val="0"/>
                <w:sz w:val="16"/>
              </w:rPr>
              <w:t>理实一体化；教师评价45%、自动测试20%、项目成果20%、答辩15%；采用尺寸口试和模型复现实测。</w:t>
            </w:r>
          </w:p>
        </w:tc>
        <w:tc>
          <w:tcPr>
            <w:tcW w:w="1150" w:type="dxa"/>
            <w:tcMar>
              <w:top w:w="100" w:type="dxa"/>
              <w:left w:w="100" w:type="dxa"/>
              <w:bottom w:w="100" w:type="dxa"/>
              <w:right w:w="100" w:type="dxa"/>
            </w:tcMar>
            <w:vAlign w:val="center"/>
          </w:tcPr>
          <w:p w14:paraId="5EF7C957">
            <w:pPr>
              <w:pStyle w:val="171"/>
              <w:keepNext w:val="0"/>
              <w:keepLines w:val="0"/>
              <w:jc w:val="left"/>
            </w:pPr>
            <w:r>
              <w:rPr>
                <w:rFonts w:ascii="Times New Roman" w:hAnsi="Times New Roman" w:eastAsia="Songti SC" w:cs="Times New Roman"/>
                <w:b w:val="0"/>
                <w:sz w:val="17"/>
              </w:rPr>
              <w:t>17</w:t>
            </w:r>
          </w:p>
        </w:tc>
      </w:tr>
      <w:tr w14:paraId="2556A48F">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00" w:type="dxa"/>
            <w:tcMar>
              <w:top w:w="100" w:type="dxa"/>
              <w:left w:w="100" w:type="dxa"/>
              <w:bottom w:w="100" w:type="dxa"/>
              <w:right w:w="100" w:type="dxa"/>
            </w:tcMar>
            <w:vAlign w:val="center"/>
          </w:tcPr>
          <w:p w14:paraId="4B09ED3D">
            <w:pPr>
              <w:pStyle w:val="171"/>
              <w:jc w:val="center"/>
            </w:pPr>
            <w:r>
              <w:rPr>
                <w:rFonts w:ascii="Times New Roman" w:hAnsi="Times New Roman" w:eastAsia="Songti SC" w:cs="Times New Roman"/>
                <w:b w:val="0"/>
                <w:sz w:val="16"/>
              </w:rPr>
              <w:t>M5</w:t>
            </w:r>
          </w:p>
        </w:tc>
        <w:tc>
          <w:tcPr>
            <w:tcW w:w="1250" w:type="dxa"/>
            <w:tcMar>
              <w:top w:w="100" w:type="dxa"/>
              <w:left w:w="100" w:type="dxa"/>
              <w:bottom w:w="100" w:type="dxa"/>
              <w:right w:w="100" w:type="dxa"/>
            </w:tcMar>
            <w:vAlign w:val="center"/>
          </w:tcPr>
          <w:p w14:paraId="225815C9">
            <w:pPr>
              <w:pStyle w:val="171"/>
              <w:jc w:val="left"/>
            </w:pPr>
            <w:r>
              <w:rPr>
                <w:rFonts w:ascii="Times New Roman" w:hAnsi="Times New Roman" w:eastAsia="Songti SC" w:cs="Times New Roman"/>
                <w:b w:val="0"/>
                <w:sz w:val="16"/>
              </w:rPr>
              <w:t>序列预测报告、文本数据管道、RNN 两版代码、困惑度与梯度曲线、生成样例和稳定性分析。</w:t>
            </w:r>
          </w:p>
        </w:tc>
        <w:tc>
          <w:tcPr>
            <w:tcW w:w="2100" w:type="dxa"/>
            <w:tcMar>
              <w:top w:w="100" w:type="dxa"/>
              <w:left w:w="100" w:type="dxa"/>
              <w:bottom w:w="100" w:type="dxa"/>
              <w:right w:w="100" w:type="dxa"/>
            </w:tcMar>
            <w:vAlign w:val="center"/>
          </w:tcPr>
          <w:p w14:paraId="510E9715">
            <w:pPr>
              <w:pStyle w:val="171"/>
              <w:jc w:val="left"/>
            </w:pPr>
            <w:r>
              <w:rPr>
                <w:rFonts w:ascii="Times New Roman" w:hAnsi="Times New Roman" w:eastAsia="Songti SC" w:cs="Times New Roman"/>
                <w:b w:val="0"/>
                <w:sz w:val="16"/>
              </w:rPr>
              <w:t>数据划分符合时间顺序；输入标签错位正确；隐状态初始化、继承与 detach 使用正确；梯度裁剪可验证；多步误差和生成结果分析客观。</w:t>
            </w:r>
          </w:p>
        </w:tc>
        <w:tc>
          <w:tcPr>
            <w:tcW w:w="3200" w:type="dxa"/>
            <w:tcMar>
              <w:top w:w="100" w:type="dxa"/>
              <w:left w:w="100" w:type="dxa"/>
              <w:bottom w:w="100" w:type="dxa"/>
              <w:right w:w="100" w:type="dxa"/>
            </w:tcMar>
            <w:vAlign w:val="center"/>
          </w:tcPr>
          <w:p w14:paraId="254F926F">
            <w:pPr>
              <w:pStyle w:val="171"/>
              <w:jc w:val="left"/>
            </w:pPr>
            <w:r>
              <w:rPr>
                <w:rFonts w:ascii="Times New Roman" w:hAnsi="Times New Roman" w:eastAsia="Songti SC" w:cs="Times New Roman"/>
                <w:b w:val="0"/>
                <w:sz w:val="16"/>
              </w:rPr>
              <w:t>项目实训；教师评价45%、自动测试20%、答辩20%、同伴复核15%；重点检查时间泄漏、状态和形状。</w:t>
            </w:r>
          </w:p>
        </w:tc>
        <w:tc>
          <w:tcPr>
            <w:tcW w:w="1150" w:type="dxa"/>
            <w:tcMar>
              <w:top w:w="100" w:type="dxa"/>
              <w:left w:w="100" w:type="dxa"/>
              <w:bottom w:w="100" w:type="dxa"/>
              <w:right w:w="100" w:type="dxa"/>
            </w:tcMar>
            <w:vAlign w:val="center"/>
          </w:tcPr>
          <w:p w14:paraId="114036E0">
            <w:pPr>
              <w:pStyle w:val="171"/>
              <w:keepNext w:val="0"/>
              <w:keepLines w:val="0"/>
              <w:jc w:val="left"/>
            </w:pPr>
            <w:r>
              <w:rPr>
                <w:rFonts w:ascii="Times New Roman" w:hAnsi="Times New Roman" w:eastAsia="Songti SC" w:cs="Times New Roman"/>
                <w:b w:val="0"/>
                <w:sz w:val="17"/>
              </w:rPr>
              <w:t>16</w:t>
            </w:r>
          </w:p>
        </w:tc>
      </w:tr>
      <w:tr w14:paraId="135E9B35">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00" w:type="dxa"/>
            <w:tcMar>
              <w:top w:w="100" w:type="dxa"/>
              <w:left w:w="100" w:type="dxa"/>
              <w:bottom w:w="100" w:type="dxa"/>
              <w:right w:w="100" w:type="dxa"/>
            </w:tcMar>
            <w:vAlign w:val="center"/>
          </w:tcPr>
          <w:p w14:paraId="27C75756">
            <w:pPr>
              <w:pStyle w:val="171"/>
              <w:jc w:val="center"/>
            </w:pPr>
            <w:r>
              <w:rPr>
                <w:rFonts w:ascii="Times New Roman" w:hAnsi="Times New Roman" w:eastAsia="Songti SC" w:cs="Times New Roman"/>
                <w:b w:val="0"/>
                <w:sz w:val="16"/>
              </w:rPr>
              <w:t>M6</w:t>
            </w:r>
          </w:p>
        </w:tc>
        <w:tc>
          <w:tcPr>
            <w:tcW w:w="1250" w:type="dxa"/>
            <w:tcMar>
              <w:top w:w="100" w:type="dxa"/>
              <w:left w:w="100" w:type="dxa"/>
              <w:bottom w:w="100" w:type="dxa"/>
              <w:right w:w="100" w:type="dxa"/>
            </w:tcMar>
            <w:vAlign w:val="center"/>
          </w:tcPr>
          <w:p w14:paraId="5BAFA509">
            <w:pPr>
              <w:pStyle w:val="171"/>
              <w:jc w:val="left"/>
            </w:pPr>
            <w:r>
              <w:rPr>
                <w:rFonts w:ascii="Times New Roman" w:hAnsi="Times New Roman" w:eastAsia="Songti SC" w:cs="Times New Roman"/>
                <w:b w:val="0"/>
                <w:sz w:val="16"/>
              </w:rPr>
              <w:t>图像数据说明、增广可视化、从头训练与微调代码、冻结/解冻消融表、训练曲线、错误样本集、复现说明和模型卡。</w:t>
            </w:r>
          </w:p>
        </w:tc>
        <w:tc>
          <w:tcPr>
            <w:tcW w:w="2100" w:type="dxa"/>
            <w:tcMar>
              <w:top w:w="100" w:type="dxa"/>
              <w:left w:w="100" w:type="dxa"/>
              <w:bottom w:w="100" w:type="dxa"/>
              <w:right w:w="100" w:type="dxa"/>
            </w:tcMar>
            <w:vAlign w:val="center"/>
          </w:tcPr>
          <w:p w14:paraId="04F189B1">
            <w:pPr>
              <w:pStyle w:val="171"/>
              <w:jc w:val="left"/>
            </w:pPr>
            <w:r>
              <w:rPr>
                <w:rFonts w:ascii="Times New Roman" w:hAnsi="Times New Roman" w:eastAsia="Songti SC" w:cs="Times New Roman"/>
                <w:b w:val="0"/>
                <w:sz w:val="16"/>
              </w:rPr>
              <w:t>训练与预测变换边界正确；预训练权重和分类头配置正确；比较协议公平；结果可复现；结论同时引用指标、曲线、样例和资源数据。</w:t>
            </w:r>
          </w:p>
        </w:tc>
        <w:tc>
          <w:tcPr>
            <w:tcW w:w="3200" w:type="dxa"/>
            <w:tcMar>
              <w:top w:w="100" w:type="dxa"/>
              <w:left w:w="100" w:type="dxa"/>
              <w:bottom w:w="100" w:type="dxa"/>
              <w:right w:w="100" w:type="dxa"/>
            </w:tcMar>
            <w:vAlign w:val="center"/>
          </w:tcPr>
          <w:p w14:paraId="17C97C94">
            <w:pPr>
              <w:pStyle w:val="171"/>
              <w:jc w:val="left"/>
            </w:pPr>
            <w:r>
              <w:rPr>
                <w:rFonts w:ascii="Times New Roman" w:hAnsi="Times New Roman" w:eastAsia="Songti SC" w:cs="Times New Roman"/>
                <w:b w:val="0"/>
                <w:sz w:val="16"/>
              </w:rPr>
              <w:t>案例教学与项目实训；教师评价45%、代码运行与测试25%、实验报告20%、答辩10%；采用增广故障注入和随机样例复核。</w:t>
            </w:r>
          </w:p>
        </w:tc>
        <w:tc>
          <w:tcPr>
            <w:tcW w:w="1150" w:type="dxa"/>
            <w:tcMar>
              <w:top w:w="100" w:type="dxa"/>
              <w:left w:w="100" w:type="dxa"/>
              <w:bottom w:w="100" w:type="dxa"/>
              <w:right w:w="100" w:type="dxa"/>
            </w:tcMar>
            <w:vAlign w:val="center"/>
          </w:tcPr>
          <w:p w14:paraId="606ED99D">
            <w:pPr>
              <w:pStyle w:val="171"/>
              <w:keepNext w:val="0"/>
              <w:keepLines w:val="0"/>
              <w:jc w:val="left"/>
            </w:pPr>
            <w:r>
              <w:rPr>
                <w:rFonts w:ascii="Times New Roman" w:hAnsi="Times New Roman" w:eastAsia="Songti SC" w:cs="Times New Roman"/>
                <w:b w:val="0"/>
                <w:sz w:val="17"/>
              </w:rPr>
              <w:t>12</w:t>
            </w:r>
          </w:p>
        </w:tc>
      </w:tr>
      <w:tr w14:paraId="2DFCB80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00" w:type="dxa"/>
            <w:tcMar>
              <w:top w:w="100" w:type="dxa"/>
              <w:left w:w="100" w:type="dxa"/>
              <w:bottom w:w="100" w:type="dxa"/>
              <w:right w:w="100" w:type="dxa"/>
            </w:tcMar>
            <w:vAlign w:val="center"/>
          </w:tcPr>
          <w:p w14:paraId="3D92EA65">
            <w:pPr>
              <w:pStyle w:val="171"/>
              <w:jc w:val="center"/>
            </w:pPr>
            <w:r>
              <w:rPr>
                <w:rFonts w:ascii="Times New Roman" w:hAnsi="Times New Roman" w:eastAsia="Songti SC" w:cs="Times New Roman"/>
                <w:b w:val="0"/>
                <w:sz w:val="16"/>
              </w:rPr>
              <w:t>M7</w:t>
            </w:r>
          </w:p>
        </w:tc>
        <w:tc>
          <w:tcPr>
            <w:tcW w:w="1250" w:type="dxa"/>
            <w:tcMar>
              <w:top w:w="100" w:type="dxa"/>
              <w:left w:w="100" w:type="dxa"/>
              <w:bottom w:w="100" w:type="dxa"/>
              <w:right w:w="100" w:type="dxa"/>
            </w:tcMar>
            <w:vAlign w:val="center"/>
          </w:tcPr>
          <w:p w14:paraId="3F045C41">
            <w:pPr>
              <w:pStyle w:val="171"/>
              <w:jc w:val="left"/>
            </w:pPr>
            <w:r>
              <w:rPr>
                <w:rFonts w:ascii="Times New Roman" w:hAnsi="Times New Roman" w:eastAsia="Songti SC" w:cs="Times New Roman"/>
                <w:b w:val="0"/>
                <w:sz w:val="16"/>
              </w:rPr>
              <w:t>检测与分割数据说明、边界框/掩膜可视化、IoU与NMS测试、基础模型代码、指标表、错误案例册、复现说明和风险分析。</w:t>
            </w:r>
          </w:p>
        </w:tc>
        <w:tc>
          <w:tcPr>
            <w:tcW w:w="2100" w:type="dxa"/>
            <w:tcMar>
              <w:top w:w="100" w:type="dxa"/>
              <w:left w:w="100" w:type="dxa"/>
              <w:bottom w:w="100" w:type="dxa"/>
              <w:right w:w="100" w:type="dxa"/>
            </w:tcMar>
            <w:vAlign w:val="center"/>
          </w:tcPr>
          <w:p w14:paraId="3BAA52A8">
            <w:pPr>
              <w:pStyle w:val="171"/>
              <w:jc w:val="left"/>
            </w:pPr>
            <w:r>
              <w:rPr>
                <w:rFonts w:ascii="Times New Roman" w:hAnsi="Times New Roman" w:eastAsia="Songti SC" w:cs="Times New Roman"/>
                <w:b w:val="0"/>
                <w:sz w:val="16"/>
              </w:rPr>
              <w:t>坐标格式与图像尺寸一致；IoU、匹配和NMS结果可由小样例验证；分割掩膜类别映射正确；训练和评价无泄漏；错误分析覆盖漏检、误检和边界质量。</w:t>
            </w:r>
          </w:p>
        </w:tc>
        <w:tc>
          <w:tcPr>
            <w:tcW w:w="3200" w:type="dxa"/>
            <w:tcMar>
              <w:top w:w="100" w:type="dxa"/>
              <w:left w:w="100" w:type="dxa"/>
              <w:bottom w:w="100" w:type="dxa"/>
              <w:right w:w="100" w:type="dxa"/>
            </w:tcMar>
            <w:vAlign w:val="center"/>
          </w:tcPr>
          <w:p w14:paraId="37D0FF1F">
            <w:pPr>
              <w:pStyle w:val="171"/>
              <w:jc w:val="left"/>
            </w:pPr>
            <w:r>
              <w:rPr>
                <w:rFonts w:ascii="Times New Roman" w:hAnsi="Times New Roman" w:eastAsia="Songti SC" w:cs="Times New Roman"/>
                <w:b w:val="0"/>
                <w:sz w:val="16"/>
              </w:rPr>
              <w:t>任务驱动、几何可视化与分组实训；教师评价40%、自动测试25%、项目报告20%、答辩15%；以标注错位和NMS阈值开展故障诊断。</w:t>
            </w:r>
          </w:p>
        </w:tc>
        <w:tc>
          <w:tcPr>
            <w:tcW w:w="1150" w:type="dxa"/>
            <w:tcMar>
              <w:top w:w="100" w:type="dxa"/>
              <w:left w:w="100" w:type="dxa"/>
              <w:bottom w:w="100" w:type="dxa"/>
              <w:right w:w="100" w:type="dxa"/>
            </w:tcMar>
            <w:vAlign w:val="center"/>
          </w:tcPr>
          <w:p w14:paraId="69F6C8D2">
            <w:pPr>
              <w:pStyle w:val="171"/>
              <w:keepNext w:val="0"/>
              <w:keepLines w:val="0"/>
              <w:jc w:val="left"/>
            </w:pPr>
            <w:r>
              <w:rPr>
                <w:rFonts w:ascii="Times New Roman" w:hAnsi="Times New Roman" w:eastAsia="Songti SC" w:cs="Times New Roman"/>
                <w:b w:val="0"/>
                <w:sz w:val="17"/>
              </w:rPr>
              <w:t>13</w:t>
            </w:r>
          </w:p>
        </w:tc>
      </w:tr>
      <w:tr w14:paraId="171C915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00" w:type="dxa"/>
            <w:tcMar>
              <w:top w:w="100" w:type="dxa"/>
              <w:left w:w="100" w:type="dxa"/>
              <w:bottom w:w="100" w:type="dxa"/>
              <w:right w:w="100" w:type="dxa"/>
            </w:tcMar>
            <w:vAlign w:val="center"/>
          </w:tcPr>
          <w:p w14:paraId="1F4573D9">
            <w:pPr>
              <w:pStyle w:val="171"/>
              <w:jc w:val="center"/>
            </w:pPr>
            <w:r>
              <w:rPr>
                <w:rFonts w:ascii="Times New Roman" w:hAnsi="Times New Roman" w:eastAsia="Songti SC" w:cs="Times New Roman"/>
                <w:b w:val="0"/>
                <w:sz w:val="16"/>
              </w:rPr>
              <w:t>M8</w:t>
            </w:r>
          </w:p>
        </w:tc>
        <w:tc>
          <w:tcPr>
            <w:tcW w:w="1250" w:type="dxa"/>
            <w:tcMar>
              <w:top w:w="100" w:type="dxa"/>
              <w:left w:w="100" w:type="dxa"/>
              <w:bottom w:w="100" w:type="dxa"/>
              <w:right w:w="100" w:type="dxa"/>
            </w:tcMar>
            <w:vAlign w:val="center"/>
          </w:tcPr>
          <w:p w14:paraId="17776968">
            <w:pPr>
              <w:pStyle w:val="171"/>
              <w:jc w:val="left"/>
            </w:pPr>
            <w:r>
              <w:rPr>
                <w:rFonts w:ascii="Times New Roman" w:hAnsi="Times New Roman" w:eastAsia="Songti SC" w:cs="Times New Roman"/>
                <w:b w:val="0"/>
                <w:sz w:val="16"/>
              </w:rPr>
              <w:t>语料与词表说明、训练样本检查、词嵌入模型、损失曲线、相似度/类比报告、词表外案例、复现配置和风险说明。</w:t>
            </w:r>
          </w:p>
        </w:tc>
        <w:tc>
          <w:tcPr>
            <w:tcW w:w="2100" w:type="dxa"/>
            <w:tcMar>
              <w:top w:w="100" w:type="dxa"/>
              <w:left w:w="100" w:type="dxa"/>
              <w:bottom w:w="100" w:type="dxa"/>
              <w:right w:w="100" w:type="dxa"/>
            </w:tcMar>
            <w:vAlign w:val="center"/>
          </w:tcPr>
          <w:p w14:paraId="4FD1F424">
            <w:pPr>
              <w:pStyle w:val="171"/>
              <w:jc w:val="left"/>
            </w:pPr>
            <w:r>
              <w:rPr>
                <w:rFonts w:ascii="Times New Roman" w:hAnsi="Times New Roman" w:eastAsia="Songti SC" w:cs="Times New Roman"/>
                <w:b w:val="0"/>
                <w:sz w:val="16"/>
              </w:rPr>
              <w:t>中心词、上下文与负样本构造正确；嵌入索引和形状通过测试；预训练向量来源可追溯；相似度与类比结论包含成功和失败样例。</w:t>
            </w:r>
          </w:p>
        </w:tc>
        <w:tc>
          <w:tcPr>
            <w:tcW w:w="3200" w:type="dxa"/>
            <w:tcMar>
              <w:top w:w="100" w:type="dxa"/>
              <w:left w:w="100" w:type="dxa"/>
              <w:bottom w:w="100" w:type="dxa"/>
              <w:right w:w="100" w:type="dxa"/>
            </w:tcMar>
            <w:vAlign w:val="center"/>
          </w:tcPr>
          <w:p w14:paraId="7D4061CA">
            <w:pPr>
              <w:pStyle w:val="171"/>
              <w:jc w:val="left"/>
            </w:pPr>
            <w:r>
              <w:rPr>
                <w:rFonts w:ascii="Times New Roman" w:hAnsi="Times New Roman" w:eastAsia="Songti SC" w:cs="Times New Roman"/>
                <w:b w:val="0"/>
                <w:sz w:val="16"/>
              </w:rPr>
              <w:t>概念可视化与实验实训；教师评价40%、代码与测试25%、实验报告25%、答辩10%；通过高频词下采样和负样本故障案例诊断。</w:t>
            </w:r>
          </w:p>
        </w:tc>
        <w:tc>
          <w:tcPr>
            <w:tcW w:w="1150" w:type="dxa"/>
            <w:tcMar>
              <w:top w:w="100" w:type="dxa"/>
              <w:left w:w="100" w:type="dxa"/>
              <w:bottom w:w="100" w:type="dxa"/>
              <w:right w:w="100" w:type="dxa"/>
            </w:tcMar>
            <w:vAlign w:val="center"/>
          </w:tcPr>
          <w:p w14:paraId="26E084F3">
            <w:pPr>
              <w:pStyle w:val="171"/>
              <w:keepNext w:val="0"/>
              <w:keepLines w:val="0"/>
              <w:jc w:val="left"/>
            </w:pPr>
            <w:r>
              <w:rPr>
                <w:rFonts w:ascii="Times New Roman" w:hAnsi="Times New Roman" w:eastAsia="Songti SC" w:cs="Times New Roman"/>
                <w:b w:val="0"/>
                <w:sz w:val="17"/>
              </w:rPr>
              <w:t>12</w:t>
            </w:r>
          </w:p>
        </w:tc>
      </w:tr>
      <w:tr w14:paraId="4A670E28">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00" w:type="dxa"/>
            <w:tcMar>
              <w:top w:w="100" w:type="dxa"/>
              <w:left w:w="100" w:type="dxa"/>
              <w:bottom w:w="100" w:type="dxa"/>
              <w:right w:w="100" w:type="dxa"/>
            </w:tcMar>
            <w:vAlign w:val="center"/>
          </w:tcPr>
          <w:p w14:paraId="3D14E931">
            <w:pPr>
              <w:pStyle w:val="171"/>
              <w:jc w:val="center"/>
            </w:pPr>
            <w:r>
              <w:rPr>
                <w:rFonts w:ascii="Times New Roman" w:hAnsi="Times New Roman" w:eastAsia="Songti SC" w:cs="Times New Roman"/>
                <w:b w:val="0"/>
                <w:sz w:val="16"/>
              </w:rPr>
              <w:t>M9</w:t>
            </w:r>
          </w:p>
        </w:tc>
        <w:tc>
          <w:tcPr>
            <w:tcW w:w="1250" w:type="dxa"/>
            <w:tcMar>
              <w:top w:w="100" w:type="dxa"/>
              <w:left w:w="100" w:type="dxa"/>
              <w:bottom w:w="100" w:type="dxa"/>
              <w:right w:w="100" w:type="dxa"/>
            </w:tcMar>
            <w:vAlign w:val="center"/>
          </w:tcPr>
          <w:p w14:paraId="5F8909DC">
            <w:pPr>
              <w:pStyle w:val="171"/>
              <w:jc w:val="left"/>
            </w:pPr>
            <w:r>
              <w:rPr>
                <w:rFonts w:ascii="Times New Roman" w:hAnsi="Times New Roman" w:eastAsia="Songti SC" w:cs="Times New Roman"/>
                <w:b w:val="0"/>
                <w:sz w:val="16"/>
              </w:rPr>
              <w:t>BERT输入与标签样例、数据管道测试、模型运行记录、掩蔽预测表、上下文向量分析、资源记录、复现说明和模型说明卡。</w:t>
            </w:r>
          </w:p>
        </w:tc>
        <w:tc>
          <w:tcPr>
            <w:tcW w:w="2100" w:type="dxa"/>
            <w:tcMar>
              <w:top w:w="100" w:type="dxa"/>
              <w:left w:w="100" w:type="dxa"/>
              <w:bottom w:w="100" w:type="dxa"/>
              <w:right w:w="100" w:type="dxa"/>
            </w:tcMar>
            <w:vAlign w:val="center"/>
          </w:tcPr>
          <w:p w14:paraId="39447D29">
            <w:pPr>
              <w:pStyle w:val="171"/>
              <w:jc w:val="left"/>
            </w:pPr>
            <w:r>
              <w:rPr>
                <w:rFonts w:ascii="Times New Roman" w:hAnsi="Times New Roman" w:eastAsia="Songti SC" w:cs="Times New Roman"/>
                <w:b w:val="0"/>
                <w:sz w:val="16"/>
              </w:rPr>
              <w:t>特殊词元、片段和位置编码正确；MLM只在指定位置计分；有效长度屏蔽填充；检查点与词表匹配；表示分析可复现且不过度解释。</w:t>
            </w:r>
          </w:p>
        </w:tc>
        <w:tc>
          <w:tcPr>
            <w:tcW w:w="3200" w:type="dxa"/>
            <w:tcMar>
              <w:top w:w="100" w:type="dxa"/>
              <w:left w:w="100" w:type="dxa"/>
              <w:bottom w:w="100" w:type="dxa"/>
              <w:right w:w="100" w:type="dxa"/>
            </w:tcMar>
            <w:vAlign w:val="center"/>
          </w:tcPr>
          <w:p w14:paraId="71C3528D">
            <w:pPr>
              <w:pStyle w:val="171"/>
              <w:jc w:val="left"/>
            </w:pPr>
            <w:r>
              <w:rPr>
                <w:rFonts w:ascii="Times New Roman" w:hAnsi="Times New Roman" w:eastAsia="Songti SC" w:cs="Times New Roman"/>
                <w:b w:val="0"/>
                <w:sz w:val="16"/>
              </w:rPr>
              <w:t>教师演示、最小样例和分组实训；教师评价40%、数据与接口测试25%、分析报告25%、答辩10%；不要求从零大规模预训练。</w:t>
            </w:r>
          </w:p>
        </w:tc>
        <w:tc>
          <w:tcPr>
            <w:tcW w:w="1150" w:type="dxa"/>
            <w:tcMar>
              <w:top w:w="100" w:type="dxa"/>
              <w:left w:w="100" w:type="dxa"/>
              <w:bottom w:w="100" w:type="dxa"/>
              <w:right w:w="100" w:type="dxa"/>
            </w:tcMar>
            <w:vAlign w:val="center"/>
          </w:tcPr>
          <w:p w14:paraId="58742260">
            <w:pPr>
              <w:pStyle w:val="171"/>
              <w:keepNext w:val="0"/>
              <w:keepLines w:val="0"/>
              <w:jc w:val="left"/>
            </w:pPr>
            <w:r>
              <w:rPr>
                <w:rFonts w:ascii="Times New Roman" w:hAnsi="Times New Roman" w:eastAsia="Songti SC" w:cs="Times New Roman"/>
                <w:b w:val="0"/>
                <w:sz w:val="17"/>
              </w:rPr>
              <w:t>13</w:t>
            </w:r>
          </w:p>
        </w:tc>
      </w:tr>
      <w:tr w14:paraId="76E558B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150" w:type="dxa"/>
            <w:gridSpan w:val="4"/>
            <w:shd w:val="clear" w:color="auto" w:fill="F7F7F7"/>
            <w:tcMar>
              <w:top w:w="100" w:type="dxa"/>
              <w:left w:w="100" w:type="dxa"/>
              <w:bottom w:w="100" w:type="dxa"/>
              <w:right w:w="100" w:type="dxa"/>
            </w:tcMar>
            <w:vAlign w:val="center"/>
          </w:tcPr>
          <w:p w14:paraId="388EDE79">
            <w:pPr>
              <w:pStyle w:val="171"/>
              <w:keepNext w:val="0"/>
              <w:keepLines w:val="0"/>
              <w:jc w:val="left"/>
            </w:pPr>
            <w:r>
              <w:rPr>
                <w:rFonts w:ascii="Times New Roman" w:hAnsi="Times New Roman" w:eastAsia="Songti SC" w:cs="Times New Roman"/>
                <w:b w:val="0"/>
                <w:sz w:val="17"/>
              </w:rPr>
              <w:t>合计</w:t>
            </w:r>
          </w:p>
        </w:tc>
        <w:tc>
          <w:tcPr>
            <w:tcW w:w="1150" w:type="dxa"/>
            <w:shd w:val="clear" w:color="auto" w:fill="F7F7F7"/>
            <w:tcMar>
              <w:top w:w="100" w:type="dxa"/>
              <w:left w:w="100" w:type="dxa"/>
              <w:bottom w:w="100" w:type="dxa"/>
              <w:right w:w="100" w:type="dxa"/>
            </w:tcMar>
            <w:vAlign w:val="center"/>
          </w:tcPr>
          <w:p w14:paraId="2D47241C">
            <w:pPr>
              <w:pStyle w:val="171"/>
              <w:keepNext w:val="0"/>
              <w:keepLines w:val="0"/>
              <w:jc w:val="left"/>
            </w:pPr>
            <w:r>
              <w:rPr>
                <w:rFonts w:ascii="Times New Roman" w:hAnsi="Times New Roman" w:eastAsia="Songti SC" w:cs="Times New Roman"/>
                <w:b w:val="0"/>
                <w:sz w:val="17"/>
              </w:rPr>
              <w:t>100</w:t>
            </w:r>
          </w:p>
        </w:tc>
      </w:tr>
    </w:tbl>
    <w:p w14:paraId="5F358D60">
      <w:pPr>
        <w:pStyle w:val="168"/>
      </w:pPr>
      <w:r>
        <w:t>1. 模块评价原则</w:t>
      </w:r>
    </w:p>
    <w:p w14:paraId="47409F39">
      <w:pPr>
        <w:pStyle w:val="164"/>
      </w:pPr>
      <w:r>
        <w:t>模块评价采用成果、过程和答辩三类证据。成果证据包括代码、Notebook、模型、检查点、测试、图表和报告；过程证据包括版本记录、实验日志、分工、代码评审和失败修复；答辩证据包括现场运行、随机改参、形状推导和方案说明。教师不以程序能够打开或最终指标较高直接判定达标，而要确认数据划分、关键组件、评价协议和职业规范均符合要求。</w:t>
      </w:r>
    </w:p>
    <w:p w14:paraId="4F2E7BA3">
      <w:pPr>
        <w:pStyle w:val="164"/>
      </w:pPr>
      <w:r>
        <w:t>模块内部统一从数学与形状正确性、代码功能与测试、实验设计与复现、结果分析、工程规范与责任意识五个维度评分。对于以代码为主的任务，代码和测试权重不低于40%；对于模型比较任务，实验设计和结果分析权重不低于40%。自动测试提供客观证据，但不能替代教师对报告和答辩的判断。</w:t>
      </w:r>
    </w:p>
    <w:p w14:paraId="6F041E24">
      <w:pPr>
        <w:pStyle w:val="164"/>
      </w:pPr>
      <w:r>
        <w:t>模块成果允许迭代。首次提交后，教师给出错误类型和证据缺口，学生在规定时间内修复并提交变更说明；修复成绩反映最终能力，原始错误仍作为过程评价和教学改进数据。涉及数据泄漏、伪造日志、复制代码却不能解释、绕过测试或违反数据授权的成果，应进入学术诚信复核并按学校规定处理。</w:t>
      </w:r>
    </w:p>
    <w:p w14:paraId="371C4BEA">
      <w:pPr>
        <w:pStyle w:val="168"/>
      </w:pPr>
      <w:r>
        <w:t>2. 学习反馈与补救</w:t>
      </w:r>
    </w:p>
    <w:p w14:paraId="2A63B315">
      <w:pPr>
        <w:pStyle w:val="164"/>
      </w:pPr>
      <w:r>
        <w:t>教师每两周汇总形状、梯度、验证、设备、状态、视觉标注、边界框、分割掩膜、词表索引和预训练样本等错误，发布匿名化问题清单和补救练习。未达到模块最低门槛的学生需完成针对性任务并参加二次口试；已达到者可选择性能分析、拓展数据或测试设计。补救重点是核心能力，不通过增加无关作业量替代问题诊断。</w:t>
      </w:r>
    </w:p>
    <w:p w14:paraId="008E9908">
      <w:pPr>
        <w:pStyle w:val="167"/>
      </w:pPr>
      <w:r>
        <w:t>（二）课程学业成绩认定</w:t>
      </w:r>
    </w:p>
    <w:p w14:paraId="799173A9">
      <w:pPr>
        <w:pStyle w:val="164"/>
      </w:pPr>
      <w:r>
        <w:t>课程成绩采用形成性评价与终结性评价相结合的方式。形成性评价占70%，其中职业规范与课堂表现占10%，九个模块学习产出按表16折算占60%；终结性评价占30%，由综合项目成果和现场答辩构成。模块分值按17＋33＋50配置，使计算机视觉和文本预训练表示应用模块的学习证据占模块评价的一半。学生须同时达到总评60分、综合项目核心功能可运行、数据无泄漏、关键测试通过和答辩能解释主要代码五项条件，方可认定课程合格。</w:t>
      </w:r>
    </w:p>
    <w:p w14:paraId="5C0F1D98">
      <w:pPr>
        <w:pStyle w:val="170"/>
      </w:pPr>
      <w:r>
        <w:t>表17  课程学业成绩认定方案</w:t>
      </w:r>
    </w:p>
    <w:tbl>
      <w:tblPr>
        <w:tblStyle w:val="32"/>
        <w:tblW w:w="8300"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000"/>
        <w:gridCol w:w="3900"/>
        <w:gridCol w:w="1200"/>
      </w:tblGrid>
      <w:tr w14:paraId="5C52CAC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3200" w:type="dxa"/>
            <w:gridSpan w:val="2"/>
            <w:tcBorders>
              <w:tl2br w:val="nil"/>
              <w:tr2bl w:val="nil"/>
            </w:tcBorders>
            <w:shd w:val="clear" w:color="auto" w:fill="E7E6E6"/>
            <w:tcMar>
              <w:top w:w="100" w:type="dxa"/>
              <w:left w:w="100" w:type="dxa"/>
              <w:bottom w:w="100" w:type="dxa"/>
              <w:right w:w="100" w:type="dxa"/>
            </w:tcMar>
            <w:vAlign w:val="center"/>
          </w:tcPr>
          <w:p w14:paraId="0137AF7C">
            <w:pPr>
              <w:pStyle w:val="171"/>
              <w:keepNext w:val="0"/>
              <w:keepLines w:val="0"/>
              <w:jc w:val="center"/>
            </w:pPr>
            <w:r>
              <w:rPr>
                <w:rFonts w:ascii="Arial" w:hAnsi="Arial" w:eastAsia="Heiti SC" w:cs="Arial"/>
                <w:b/>
                <w:sz w:val="17"/>
              </w:rPr>
              <w:t>考核项目</w:t>
            </w:r>
          </w:p>
        </w:tc>
        <w:tc>
          <w:tcPr>
            <w:tcW w:w="3900" w:type="dxa"/>
            <w:tcBorders>
              <w:tl2br w:val="nil"/>
              <w:tr2bl w:val="nil"/>
            </w:tcBorders>
            <w:shd w:val="clear" w:color="auto" w:fill="E7E6E6"/>
            <w:tcMar>
              <w:top w:w="100" w:type="dxa"/>
              <w:left w:w="100" w:type="dxa"/>
              <w:bottom w:w="100" w:type="dxa"/>
              <w:right w:w="100" w:type="dxa"/>
            </w:tcMar>
            <w:vAlign w:val="center"/>
          </w:tcPr>
          <w:p w14:paraId="5C8F17F8">
            <w:pPr>
              <w:pStyle w:val="171"/>
              <w:keepNext w:val="0"/>
              <w:keepLines w:val="0"/>
              <w:jc w:val="center"/>
            </w:pPr>
            <w:r>
              <w:rPr>
                <w:rFonts w:ascii="Arial" w:hAnsi="Arial" w:eastAsia="Heiti SC" w:cs="Arial"/>
                <w:b/>
                <w:sz w:val="17"/>
              </w:rPr>
              <w:t>考核方法</w:t>
            </w:r>
          </w:p>
        </w:tc>
        <w:tc>
          <w:tcPr>
            <w:tcW w:w="1200" w:type="dxa"/>
            <w:tcBorders>
              <w:tl2br w:val="nil"/>
              <w:tr2bl w:val="nil"/>
            </w:tcBorders>
            <w:shd w:val="clear" w:color="auto" w:fill="E7E6E6"/>
            <w:tcMar>
              <w:top w:w="100" w:type="dxa"/>
              <w:left w:w="100" w:type="dxa"/>
              <w:bottom w:w="100" w:type="dxa"/>
              <w:right w:w="100" w:type="dxa"/>
            </w:tcMar>
            <w:vAlign w:val="center"/>
          </w:tcPr>
          <w:p w14:paraId="4843526E">
            <w:pPr>
              <w:pStyle w:val="171"/>
              <w:keepNext w:val="0"/>
              <w:keepLines w:val="0"/>
              <w:jc w:val="center"/>
            </w:pPr>
            <w:r>
              <w:rPr>
                <w:rFonts w:ascii="Arial" w:hAnsi="Arial" w:eastAsia="Heiti SC" w:cs="Arial"/>
                <w:b/>
                <w:sz w:val="17"/>
              </w:rPr>
              <w:t>考核比例</w:t>
            </w:r>
          </w:p>
        </w:tc>
      </w:tr>
      <w:tr w14:paraId="1C333F1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00" w:type="dxa"/>
            <w:vMerge w:val="restart"/>
            <w:tcBorders>
              <w:tl2br w:val="nil"/>
              <w:tr2bl w:val="nil"/>
            </w:tcBorders>
            <w:tcMar>
              <w:top w:w="100" w:type="dxa"/>
              <w:left w:w="100" w:type="dxa"/>
              <w:bottom w:w="100" w:type="dxa"/>
              <w:right w:w="100" w:type="dxa"/>
            </w:tcMar>
            <w:vAlign w:val="center"/>
          </w:tcPr>
          <w:p w14:paraId="31A0DBA4">
            <w:pPr>
              <w:pStyle w:val="171"/>
              <w:keepNext w:val="0"/>
              <w:keepLines w:val="0"/>
              <w:jc w:val="left"/>
            </w:pPr>
            <w:r>
              <w:rPr>
                <w:rFonts w:ascii="Times New Roman" w:hAnsi="Times New Roman" w:eastAsia="Songti SC" w:cs="Times New Roman"/>
                <w:b w:val="0"/>
                <w:sz w:val="17"/>
              </w:rPr>
              <w:t>形成性评价</w:t>
            </w:r>
          </w:p>
        </w:tc>
        <w:tc>
          <w:tcPr>
            <w:tcW w:w="2000" w:type="dxa"/>
            <w:tcBorders>
              <w:tl2br w:val="nil"/>
              <w:tr2bl w:val="nil"/>
            </w:tcBorders>
            <w:tcMar>
              <w:top w:w="100" w:type="dxa"/>
              <w:left w:w="100" w:type="dxa"/>
              <w:bottom w:w="100" w:type="dxa"/>
              <w:right w:w="100" w:type="dxa"/>
            </w:tcMar>
            <w:vAlign w:val="center"/>
          </w:tcPr>
          <w:p w14:paraId="455FEF49">
            <w:pPr>
              <w:pStyle w:val="171"/>
              <w:jc w:val="left"/>
            </w:pPr>
            <w:r>
              <w:rPr>
                <w:rFonts w:ascii="Times New Roman" w:hAnsi="Times New Roman" w:eastAsia="Songti SC" w:cs="Times New Roman"/>
                <w:b w:val="0"/>
                <w:sz w:val="17"/>
              </w:rPr>
              <w:t>遵章守纪、学习态度与职业规范</w:t>
            </w:r>
          </w:p>
        </w:tc>
        <w:tc>
          <w:tcPr>
            <w:tcW w:w="3900" w:type="dxa"/>
            <w:tcBorders>
              <w:tl2br w:val="nil"/>
              <w:tr2bl w:val="nil"/>
            </w:tcBorders>
            <w:tcMar>
              <w:top w:w="100" w:type="dxa"/>
              <w:left w:w="100" w:type="dxa"/>
              <w:bottom w:w="100" w:type="dxa"/>
              <w:right w:w="100" w:type="dxa"/>
            </w:tcMar>
            <w:vAlign w:val="center"/>
          </w:tcPr>
          <w:p w14:paraId="1F04BDBD">
            <w:pPr>
              <w:pStyle w:val="171"/>
              <w:keepNext w:val="0"/>
              <w:keepLines w:val="0"/>
              <w:jc w:val="left"/>
            </w:pPr>
            <w:r>
              <w:rPr>
                <w:rFonts w:ascii="Times New Roman" w:hAnsi="Times New Roman" w:eastAsia="Songti SC" w:cs="Times New Roman"/>
                <w:b w:val="0"/>
                <w:sz w:val="17"/>
              </w:rPr>
              <w:t>依据考勤、课堂任务、代码评审、数据与伦理规范、团队协作和答辩记录综合评价。</w:t>
            </w:r>
          </w:p>
        </w:tc>
        <w:tc>
          <w:tcPr>
            <w:tcW w:w="1200" w:type="dxa"/>
            <w:tcBorders>
              <w:tl2br w:val="nil"/>
              <w:tr2bl w:val="nil"/>
            </w:tcBorders>
            <w:tcMar>
              <w:top w:w="100" w:type="dxa"/>
              <w:left w:w="100" w:type="dxa"/>
              <w:bottom w:w="100" w:type="dxa"/>
              <w:right w:w="100" w:type="dxa"/>
            </w:tcMar>
            <w:vAlign w:val="center"/>
          </w:tcPr>
          <w:p w14:paraId="7A3E30AC">
            <w:pPr>
              <w:pStyle w:val="171"/>
              <w:keepNext w:val="0"/>
              <w:keepLines w:val="0"/>
              <w:jc w:val="left"/>
            </w:pPr>
            <w:r>
              <w:rPr>
                <w:rFonts w:ascii="Times New Roman" w:hAnsi="Times New Roman" w:eastAsia="Songti SC" w:cs="Times New Roman"/>
                <w:b w:val="0"/>
                <w:sz w:val="17"/>
              </w:rPr>
              <w:t>10%</w:t>
            </w:r>
          </w:p>
        </w:tc>
      </w:tr>
      <w:tr w14:paraId="6E743C2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00" w:type="dxa"/>
            <w:vMerge w:val="continue"/>
            <w:tcBorders>
              <w:tl2br w:val="nil"/>
              <w:tr2bl w:val="nil"/>
            </w:tcBorders>
            <w:vAlign w:val="center"/>
          </w:tcPr>
          <w:p w14:paraId="75072486">
            <w:pPr>
              <w:widowControl/>
              <w:spacing w:line="300" w:lineRule="exact"/>
              <w:jc w:val="left"/>
              <w:rPr>
                <w:rFonts w:ascii="宋体" w:hAnsi="宋体" w:eastAsia="宋体" w:cs="宋体"/>
                <w:kern w:val="0"/>
                <w:sz w:val="15"/>
                <w:szCs w:val="15"/>
              </w:rPr>
            </w:pPr>
          </w:p>
        </w:tc>
        <w:tc>
          <w:tcPr>
            <w:tcW w:w="2000" w:type="dxa"/>
            <w:tcBorders>
              <w:tl2br w:val="nil"/>
              <w:tr2bl w:val="nil"/>
            </w:tcBorders>
            <w:tcMar>
              <w:top w:w="100" w:type="dxa"/>
              <w:left w:w="100" w:type="dxa"/>
              <w:bottom w:w="100" w:type="dxa"/>
              <w:right w:w="100" w:type="dxa"/>
            </w:tcMar>
            <w:vAlign w:val="center"/>
          </w:tcPr>
          <w:p w14:paraId="2C41C8CE">
            <w:pPr>
              <w:pStyle w:val="171"/>
              <w:jc w:val="left"/>
            </w:pPr>
            <w:r>
              <w:rPr>
                <w:rFonts w:ascii="Times New Roman" w:hAnsi="Times New Roman" w:eastAsia="Songti SC" w:cs="Times New Roman"/>
                <w:b w:val="0"/>
                <w:sz w:val="17"/>
              </w:rPr>
              <w:t>九个模块学习产出</w:t>
            </w:r>
          </w:p>
        </w:tc>
        <w:tc>
          <w:tcPr>
            <w:tcW w:w="3900" w:type="dxa"/>
            <w:tcBorders>
              <w:tl2br w:val="nil"/>
              <w:tr2bl w:val="nil"/>
            </w:tcBorders>
            <w:tcMar>
              <w:top w:w="100" w:type="dxa"/>
              <w:left w:w="100" w:type="dxa"/>
              <w:bottom w:w="100" w:type="dxa"/>
              <w:right w:w="100" w:type="dxa"/>
            </w:tcMar>
            <w:vAlign w:val="center"/>
          </w:tcPr>
          <w:p w14:paraId="4059ABF9">
            <w:pPr>
              <w:pStyle w:val="171"/>
              <w:jc w:val="left"/>
            </w:pPr>
            <w:r>
              <w:rPr>
                <w:rFonts w:ascii="Times New Roman" w:hAnsi="Times New Roman" w:eastAsia="Songti SC" w:cs="Times New Roman"/>
                <w:b w:val="0"/>
                <w:sz w:val="17"/>
              </w:rPr>
              <w:t>模块成果按表16量规折算，结合自动测试、运行复核、实验报告、同伴评审和阶段答辩。</w:t>
            </w:r>
          </w:p>
        </w:tc>
        <w:tc>
          <w:tcPr>
            <w:tcW w:w="1200" w:type="dxa"/>
            <w:tcBorders>
              <w:tl2br w:val="nil"/>
              <w:tr2bl w:val="nil"/>
            </w:tcBorders>
            <w:tcMar>
              <w:top w:w="100" w:type="dxa"/>
              <w:left w:w="100" w:type="dxa"/>
              <w:bottom w:w="100" w:type="dxa"/>
              <w:right w:w="100" w:type="dxa"/>
            </w:tcMar>
            <w:vAlign w:val="center"/>
          </w:tcPr>
          <w:p w14:paraId="58015827">
            <w:pPr>
              <w:pStyle w:val="171"/>
              <w:keepNext w:val="0"/>
              <w:keepLines w:val="0"/>
              <w:jc w:val="left"/>
            </w:pPr>
            <w:r>
              <w:rPr>
                <w:rFonts w:ascii="Times New Roman" w:hAnsi="Times New Roman" w:eastAsia="Songti SC" w:cs="Times New Roman"/>
                <w:b w:val="0"/>
                <w:sz w:val="17"/>
              </w:rPr>
              <w:t>60%</w:t>
            </w:r>
          </w:p>
        </w:tc>
      </w:tr>
      <w:tr w14:paraId="726776E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00" w:type="dxa"/>
            <w:tcBorders>
              <w:tl2br w:val="nil"/>
              <w:tr2bl w:val="nil"/>
            </w:tcBorders>
            <w:tcMar>
              <w:top w:w="100" w:type="dxa"/>
              <w:left w:w="100" w:type="dxa"/>
              <w:bottom w:w="100" w:type="dxa"/>
              <w:right w:w="100" w:type="dxa"/>
            </w:tcMar>
            <w:vAlign w:val="center"/>
          </w:tcPr>
          <w:p w14:paraId="41F1D3D0">
            <w:pPr>
              <w:pStyle w:val="171"/>
              <w:jc w:val="center"/>
            </w:pPr>
            <w:r>
              <w:rPr>
                <w:rFonts w:ascii="Times New Roman" w:hAnsi="Times New Roman" w:eastAsia="Heiti SC" w:cs="Times New Roman"/>
                <w:b/>
                <w:sz w:val="17"/>
              </w:rPr>
              <w:t>终结性评价</w:t>
            </w:r>
          </w:p>
        </w:tc>
        <w:tc>
          <w:tcPr>
            <w:tcW w:w="2000" w:type="dxa"/>
            <w:tcBorders>
              <w:tl2br w:val="nil"/>
              <w:tr2bl w:val="nil"/>
            </w:tcBorders>
            <w:tcMar>
              <w:top w:w="100" w:type="dxa"/>
              <w:left w:w="100" w:type="dxa"/>
              <w:bottom w:w="100" w:type="dxa"/>
              <w:right w:w="100" w:type="dxa"/>
            </w:tcMar>
            <w:vAlign w:val="center"/>
          </w:tcPr>
          <w:p w14:paraId="634D0008">
            <w:pPr>
              <w:pStyle w:val="171"/>
              <w:jc w:val="left"/>
            </w:pPr>
            <w:r>
              <w:rPr>
                <w:rFonts w:ascii="Times New Roman" w:hAnsi="Times New Roman" w:eastAsia="Songti SC" w:cs="Times New Roman"/>
                <w:b w:val="0"/>
                <w:sz w:val="17"/>
              </w:rPr>
              <w:t>综合项目与现场答辩</w:t>
            </w:r>
          </w:p>
        </w:tc>
        <w:tc>
          <w:tcPr>
            <w:tcW w:w="3900" w:type="dxa"/>
            <w:tcBorders>
              <w:tl2br w:val="nil"/>
              <w:tr2bl w:val="nil"/>
            </w:tcBorders>
            <w:tcMar>
              <w:top w:w="100" w:type="dxa"/>
              <w:left w:w="100" w:type="dxa"/>
              <w:bottom w:w="100" w:type="dxa"/>
              <w:right w:w="100" w:type="dxa"/>
            </w:tcMar>
            <w:vAlign w:val="center"/>
          </w:tcPr>
          <w:p w14:paraId="340C0A1D">
            <w:pPr>
              <w:pStyle w:val="171"/>
              <w:jc w:val="left"/>
            </w:pPr>
            <w:r>
              <w:rPr>
                <w:rFonts w:ascii="Times New Roman" w:hAnsi="Times New Roman" w:eastAsia="Songti SC" w:cs="Times New Roman"/>
                <w:b w:val="0"/>
                <w:sz w:val="17"/>
              </w:rPr>
              <w:t>完成可复现深度学习项目，现场随机改参运行并说明数据、模型、优化、评价、限制和风险。</w:t>
            </w:r>
          </w:p>
        </w:tc>
        <w:tc>
          <w:tcPr>
            <w:tcW w:w="1200" w:type="dxa"/>
            <w:tcBorders>
              <w:tl2br w:val="nil"/>
              <w:tr2bl w:val="nil"/>
            </w:tcBorders>
            <w:tcMar>
              <w:top w:w="100" w:type="dxa"/>
              <w:left w:w="100" w:type="dxa"/>
              <w:bottom w:w="100" w:type="dxa"/>
              <w:right w:w="100" w:type="dxa"/>
            </w:tcMar>
            <w:vAlign w:val="center"/>
          </w:tcPr>
          <w:p w14:paraId="0A2EC2CB">
            <w:pPr>
              <w:pStyle w:val="171"/>
              <w:keepNext w:val="0"/>
              <w:keepLines w:val="0"/>
              <w:jc w:val="left"/>
            </w:pPr>
            <w:r>
              <w:rPr>
                <w:rFonts w:ascii="Times New Roman" w:hAnsi="Times New Roman" w:eastAsia="Songti SC" w:cs="Times New Roman"/>
                <w:b w:val="0"/>
                <w:sz w:val="17"/>
              </w:rPr>
              <w:t>30%</w:t>
            </w:r>
          </w:p>
        </w:tc>
      </w:tr>
      <w:tr w14:paraId="7A72B8C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100" w:type="dxa"/>
            <w:gridSpan w:val="3"/>
            <w:tcBorders>
              <w:tl2br w:val="nil"/>
              <w:tr2bl w:val="nil"/>
            </w:tcBorders>
            <w:shd w:val="clear" w:color="auto" w:fill="F7F7F7"/>
            <w:tcMar>
              <w:top w:w="100" w:type="dxa"/>
              <w:left w:w="100" w:type="dxa"/>
              <w:bottom w:w="100" w:type="dxa"/>
              <w:right w:w="100" w:type="dxa"/>
            </w:tcMar>
            <w:vAlign w:val="center"/>
          </w:tcPr>
          <w:p w14:paraId="2385DB72">
            <w:pPr>
              <w:pStyle w:val="171"/>
              <w:jc w:val="center"/>
            </w:pPr>
            <w:r>
              <w:rPr>
                <w:rFonts w:ascii="Times New Roman" w:hAnsi="Times New Roman" w:eastAsia="Heiti SC" w:cs="Times New Roman"/>
                <w:b/>
                <w:sz w:val="17"/>
              </w:rPr>
              <w:t>合计</w:t>
            </w:r>
          </w:p>
        </w:tc>
        <w:tc>
          <w:tcPr>
            <w:tcW w:w="1200" w:type="dxa"/>
            <w:tcBorders>
              <w:tl2br w:val="nil"/>
              <w:tr2bl w:val="nil"/>
            </w:tcBorders>
            <w:shd w:val="clear" w:color="auto" w:fill="F7F7F7"/>
            <w:tcMar>
              <w:top w:w="100" w:type="dxa"/>
              <w:left w:w="100" w:type="dxa"/>
              <w:bottom w:w="100" w:type="dxa"/>
              <w:right w:w="100" w:type="dxa"/>
            </w:tcMar>
            <w:vAlign w:val="center"/>
          </w:tcPr>
          <w:p w14:paraId="16E6B86A">
            <w:pPr>
              <w:pStyle w:val="171"/>
              <w:keepNext w:val="0"/>
              <w:keepLines w:val="0"/>
              <w:jc w:val="left"/>
            </w:pPr>
            <w:r>
              <w:rPr>
                <w:rFonts w:ascii="Times New Roman" w:hAnsi="Times New Roman" w:eastAsia="Songti SC" w:cs="Times New Roman"/>
                <w:b w:val="0"/>
                <w:sz w:val="17"/>
              </w:rPr>
              <w:t>100%</w:t>
            </w:r>
          </w:p>
        </w:tc>
      </w:tr>
    </w:tbl>
    <w:p w14:paraId="397519A4">
      <w:pPr>
        <w:pStyle w:val="168"/>
      </w:pPr>
      <w:r>
        <w:t>1. 综合项目要求</w:t>
      </w:r>
    </w:p>
    <w:p w14:paraId="58F18866">
      <w:pPr>
        <w:pStyle w:val="164"/>
      </w:pPr>
      <w:r>
        <w:t>综合项目以“PyTorch深度学习实验平台”为基本形态，学生可选择迁移学习图像分类、基础目标检测、语义分割、时间序列、字符语言模型、预训练词向量检索或BERT上下文表示观察场景。成果至少包含统一配置和随机种子、数据与预训练资产说明、训练/验证/推理接口、模型检查点及词表、核心组件测试、基线与改进对照、资源指标、失败案例、复现命令和模型卡。团队项目必须提交个人贡献记录，所有成员均需掌握公共架构和本人负责模块。</w:t>
      </w:r>
    </w:p>
    <w:p w14:paraId="15128408">
      <w:pPr>
        <w:pStyle w:val="168"/>
      </w:pPr>
      <w:r>
        <w:t>2. 课程目标达成度</w:t>
      </w:r>
    </w:p>
    <w:p w14:paraId="2359E996">
      <w:pPr>
        <w:pStyle w:val="164"/>
      </w:pPr>
      <w:r>
        <w:t>课程目标达成度以直接评价为主。知识与技能目标由模块测试、项目功能和答辩支撑；过程与方法目标由实验协议、日志、版本和消融报告支撑；情感态度目标由数据与伦理规范、团队协作、失败报告和资源使用支撑。教师按目标汇总对应评价点得分，低于0.70的目标进入课程改进清单，并结合学生自评、企业导师意见和常见错误分析原因。</w:t>
      </w:r>
    </w:p>
    <w:p w14:paraId="6A51D3B6">
      <w:pPr>
        <w:pStyle w:val="168"/>
      </w:pPr>
      <w:r>
        <w:t>3. 成绩复核与申诉</w:t>
      </w:r>
    </w:p>
    <w:p w14:paraId="2E30CF74">
      <w:pPr>
        <w:pStyle w:val="164"/>
      </w:pPr>
      <w:r>
        <w:t>评价表、自动测试结果、答辩记录和教师反馈应向学生可查询。学生对成绩有异议，可在规定时间提交运行证据和书面说明，由课程组依据同一量规复核；复核可以安排现场重现，但不得临时改变评价标准。涉及自动工具误判、硬件故障或数据服务中断的情况，应根据原始日志给予补测或替代任务。</w:t>
      </w:r>
    </w:p>
    <w:p w14:paraId="1E27E2FE">
      <w:pPr>
        <w:pStyle w:val="164"/>
      </w:pPr>
    </w:p>
    <w:p w14:paraId="7B3BFA5E">
      <w:pPr>
        <w:pStyle w:val="166"/>
      </w:pPr>
      <w:r>
        <w:t>五、实施建议</w:t>
      </w:r>
    </w:p>
    <w:p w14:paraId="4700EF05">
      <w:pPr>
        <w:pStyle w:val="167"/>
      </w:pPr>
      <w:r>
        <w:t>（一）教学建议</w:t>
      </w:r>
    </w:p>
    <w:p w14:paraId="09DE6ADC">
      <w:pPr>
        <w:pStyle w:val="164"/>
      </w:pPr>
      <w:r>
        <w:t>建议采用“短讲解—现场演示—结对实践—即时测试—集中复盘”的基本节奏。抽象概念应先用小张量、小矩阵和最小序列说明，再扩展到真实数据；每次实训开始前明确输入、输出、质量门槛和可提交证据，结束时用随机追问、交换复核或自动测试确认学生真实掌握。教师不要用完整答案替代学生诊断过程，对常见错误应准备可控故障案例和排查清单。</w:t>
      </w:r>
    </w:p>
    <w:p w14:paraId="6128E052">
      <w:pPr>
        <w:pStyle w:val="164"/>
      </w:pPr>
      <w:r>
        <w:t>建议保持一条贯穿项目主线。基础工具模块形成张量与梯度测试工具，线性学习模块形成训练循环和评价器，泛化控制模块加入验证与正则化，卷积视觉模块形成图像分类基线，序列建模模块形成文本管道与状态管理，应用模块复用前述基线开展增广、微调、检测、分割、词向量和BERT表示。模块成果通过版本标签保存，后续模块应调用前期经过测试的组件，体现真实软件迭代。</w:t>
      </w:r>
    </w:p>
    <w:p w14:paraId="0F879276">
      <w:pPr>
        <w:pStyle w:val="164"/>
      </w:pPr>
      <w:r>
        <w:t>建议针对学生基础差异设置三级任务：基础层完成规定模型与最低测试；提高层完成消融、可视化和性能分析；拓展层研究自定义数据或结构。基础薄弱学生可获得形状表、流程卡、伪代码和最小基线，但仍需独立解释核心步骤；能力较强学生可承担测试设计、性能分析或团队代码评审，避免简单增加训练规模。</w:t>
      </w:r>
    </w:p>
    <w:p w14:paraId="36910CDF">
      <w:pPr>
        <w:pStyle w:val="164"/>
      </w:pPr>
      <w:r>
        <w:t>建议把数学讲解嵌入算法和代码。线性代数围绕张量轴、矩阵乘法和范数，微积分围绕计算图与梯度，概率围绕损失与负采样，几何围绕边界框、IoU和空间上采样。公式考核重点是变量含义、形状、适用条件和代码映射，不以复杂推导量代替工程理解。</w:t>
      </w:r>
    </w:p>
    <w:p w14:paraId="1F0AA004">
      <w:pPr>
        <w:pStyle w:val="164"/>
      </w:pPr>
      <w:r>
        <w:t>建议组织常态化代码走查和技术答辩。每个模块随机抽取一名学生说明一个批次的数据形状、一次参数更新或一个评价指标，团队成员必须能够解释共同代码。教师可在复核时改变随机种子、输入尺寸或设备，检查是否硬编码。答辩记录作为形成性评价证据，用于识别代做、复制和只会运行不会解释的问题。</w:t>
      </w:r>
    </w:p>
    <w:p w14:paraId="5157C3E8">
      <w:pPr>
        <w:pStyle w:val="164"/>
      </w:pPr>
      <w:r>
        <w:t>建议在教学中持续进行伦理与安全提示，而不是只在课程末尾集中宣讲。数据模块检查授权与脱敏，泛化模块讨论偏差与分布偏移，视觉模块讨论肖像、标注、漏检和误判，词嵌入与BERT模块讨论语料版权、隐私、刻板偏见和预训练数据未知性，综合训练讨论算力与能耗。每个项目报告均应包含“限制与风险”小节。</w:t>
      </w:r>
    </w:p>
    <w:p w14:paraId="34B63DCF">
      <w:pPr>
        <w:pStyle w:val="167"/>
      </w:pPr>
      <w:r>
        <w:t>（二）教学条件</w:t>
      </w:r>
    </w:p>
    <w:p w14:paraId="4E6DF767">
      <w:pPr>
        <w:pStyle w:val="168"/>
      </w:pPr>
      <w:r>
        <w:t>1. 实训条件</w:t>
      </w:r>
    </w:p>
    <w:p w14:paraId="6BB91603">
      <w:pPr>
        <w:pStyle w:val="164"/>
      </w:pPr>
      <w:r>
        <w:t>实训场所应为理实一体化机房，保证每名学生或每两名学生一台可联网开发设备，具备教师演示、屏幕广播、分组协作和成果展示条件。基础实验可在CPU上完成，CNN、RNN、迁移微调、检测/分割和小型BERT表示实验建议提供可共享的NVIDIA GPU或等效云端算力。若GPU数量有限，应通过预约、队列、批量上限、固定检查点和离线运行日志保证公平使用。</w:t>
      </w:r>
    </w:p>
    <w:p w14:paraId="4E9D775E">
      <w:pPr>
        <w:pStyle w:val="164"/>
      </w:pPr>
      <w:r>
        <w:t>软件环境建议采用受版本管理的Python、PyTorch、torchvision、pandas、NumPy、matplotlib和Jupyter/VS Code，按需提供文本词元化与预训练模型的固定版本依赖，配套统一环境文件、离线安装包或容器镜像。每学期开始先运行环境自检脚本，记录Python、PyTorch、CUDA、GPU和关键依赖版本；课程数据、预训练权重、词表、基线和测试脚本通过校内平台统一发布，避免学生从不明来源下载可执行文件。</w:t>
      </w:r>
    </w:p>
    <w:p w14:paraId="67C41F2C">
      <w:pPr>
        <w:pStyle w:val="164"/>
      </w:pPr>
      <w:r>
        <w:t>数据与存储条件应包括课程数据目录、只读原始数据、个人实验空间、团队版本库和模型检查点区。真实或带有个人信息的数据必须脱敏并限制权限；访问密钥不得写入 Notebook 或提交到版本库。建议配置自动备份、配额和归档策略，防止大检查点无序占用存储。</w:t>
      </w:r>
    </w:p>
    <w:p w14:paraId="4F1AB2A5">
      <w:pPr>
        <w:pStyle w:val="164"/>
      </w:pPr>
      <w:r>
        <w:t>评价与质量保障需要自动测试环境、代码相似性辅助检查、作业版本留痕、答辩记录表和模块量规。自动化工具只用于发现线索，最终成绩仍由教师结合代码、运行证据、报告和答辩判断；对涉嫌复制的成果应允许学生说明并通过现场重构或随机改参验证。</w:t>
      </w:r>
    </w:p>
    <w:p w14:paraId="368E6B00">
      <w:pPr>
        <w:pStyle w:val="168"/>
      </w:pPr>
      <w:r>
        <w:t>2. 师资保障</w:t>
      </w:r>
    </w:p>
    <w:p w14:paraId="10ABA6DC">
      <w:pPr>
        <w:pStyle w:val="164"/>
      </w:pPr>
      <w:r>
        <w:t>主讲教师应具备计算机、人工智能、数据科学或相关专业背景，熟悉 Python 与 PyTorch，能够解释基础数学、模型训练、实验评价和工程实现，并具备课程项目组织和职业伦理教育能力。实训指导教师应能定位环境、数据、维度、设备、显存、梯度和版本控制问题，不能只按固定步骤演示。</w:t>
      </w:r>
    </w:p>
    <w:p w14:paraId="6B6053D9">
      <w:pPr>
        <w:pStyle w:val="164"/>
      </w:pPr>
      <w:r>
        <w:t>建议采用“双师协同”或校企共同指导：校内教师负责知识体系、教学设计和评价一致性，企业导师提供岗位案例、代码规范、资源约束和项目评审。企业案例进入课堂前应完成数据授权、难度适配和脱敏，不以企业内部工具替代学生对基本原理和可迁移能力的掌握。</w:t>
      </w:r>
    </w:p>
    <w:p w14:paraId="0F2E0A36">
      <w:pPr>
        <w:pStyle w:val="164"/>
      </w:pPr>
      <w:r>
        <w:t>教师团队每学期至少进行一次教材与软件版本复核、一次模块达成度分析和一次项目量规校准。对 PyTorch 接口变化、数据链接失效或硬件差异，应更新环境与基线，同时保留课程目标和核心评价门槛。教师应积累典型错误库、优秀与临界样例、答辩问题库和资源性能记录，用于持续改进。</w:t>
      </w:r>
    </w:p>
    <w:p w14:paraId="242D00D1">
      <w:pPr>
        <w:pStyle w:val="167"/>
      </w:pPr>
      <w:r>
        <w:t>（三）教材编写与使用建议</w:t>
      </w:r>
    </w:p>
    <w:p w14:paraId="6D8522EC">
      <w:pPr>
        <w:pStyle w:val="168"/>
      </w:pPr>
      <w:r>
        <w:t>1. 开发编写原则</w:t>
      </w:r>
    </w:p>
    <w:p w14:paraId="27999F23">
      <w:pPr>
        <w:pStyle w:val="164"/>
      </w:pPr>
      <w:r>
        <w:t>校本教材或课程讲义应以能力形成顺序和工作过程为主线，覆盖课程九个模块的核心概念、关键公式、代码接口、典型实验和职业规范，并把计算机视觉与文本预训练表示基础应用作为详细展开的后半课程。每个学习单元至少包含任务情境、学习目标、先修检查、概念图、最小代码、形状表、常见错误、实践步骤、自动测试、评价量规和拓展任务。代码应在统一环境中逐项运行验证，不能把截图或过时接口作为唯一依据。</w:t>
      </w:r>
    </w:p>
    <w:p w14:paraId="3F792987">
      <w:pPr>
        <w:pStyle w:val="164"/>
      </w:pPr>
      <w:r>
        <w:t>内容选择坚持基础性、实践性和可迁移性。对张量、自动微分、训练循环、泛化、卷积、隐状态、图像增广、迁移微调、IoU/NMS、像素标签、词嵌入数据管道、子词和BERT输入表示等核心机制应完整呈现；对检测架构细节、风格迁移、完整竞赛、大规模预训练和下游任务微调可作为拓展阅读，不能挤压学生完成基础应用、测试和评价的时间。数学表达应与代码变量、形状和图示对应，避免只给结论。</w:t>
      </w:r>
    </w:p>
    <w:p w14:paraId="3E6D246B">
      <w:pPr>
        <w:pStyle w:val="164"/>
      </w:pPr>
      <w:r>
        <w:t>校本材料应贯彻数据与人工智能伦理要求。在涉及真实数据、图像、文本和模型检查点时标注授权、隐私、版权和安全提醒；在实验结果后安排失败案例、分布偏移和适用边界分析；对可能产生有害、偏见或虚假内容的生成实验设置审查与风险说明。课堂基准指标只作为复现实例，不设置脱离硬件和随机性的绝对分数门槛。</w:t>
      </w:r>
    </w:p>
    <w:p w14:paraId="4B7ACEAA">
      <w:pPr>
        <w:pStyle w:val="168"/>
      </w:pPr>
      <w:r>
        <w:t>2. 教材使用</w:t>
      </w:r>
    </w:p>
    <w:p w14:paraId="41573E81">
      <w:pPr>
        <w:pStyle w:val="164"/>
      </w:pPr>
      <w:r>
        <w:t>课程使用由学校审定的校本讲义、教师自编实训指导书、环境说明、测试脚本、项目量规和版本变更说明。教师根据学生基础压缩不必要的证明，补充形状推导、故障诊断、工程交付和职业场景；所有外部知识、代码、数据和模型资产均须单独标注来源、许可与版本，但不把任何单一出版物作为课程结构或内容边界。每学期对链接、数据、API和运行时间进行复核。</w:t>
      </w:r>
    </w:p>
    <w:p w14:paraId="4B05A02C">
      <w:pPr>
        <w:pStyle w:val="167"/>
      </w:pPr>
      <w:r>
        <w:t>（四）课程资源的利用与开发</w:t>
      </w:r>
    </w:p>
    <w:p w14:paraId="31DE9280">
      <w:pPr>
        <w:pStyle w:val="164"/>
      </w:pPr>
      <w:r>
        <w:t>课程资源包括校本讲义、模块导学、概念图、公式—代码映射表、最小Notebook、错误案例、自动测试、数据字典、模型配置、实验报告模板、模型卡模板和评价量规。资源按模块版本化发布，教师版答案与学生版支架分离；所有示例标注运行环境、数据来源、许可证和预计耗时。</w:t>
      </w:r>
    </w:p>
    <w:p w14:paraId="5B15B522">
      <w:pPr>
        <w:pStyle w:val="164"/>
      </w:pPr>
      <w:r>
        <w:t>数字资源应优先使用PyTorch官方文档、学校维护的基线代码和校本资源库。外部博客和视频可作为补充，但关键接口、参数和结论需回到官方文档或实验验证。课程可建设形状与梯度可视化、图像增广对照、边界框/IoU/NMS交互演示、分割掩膜检查、词向量投影、BPE合并和MLM样本可视化，帮助学生理解抽象计算，但可视化不能替代代码和数值检查。</w:t>
      </w:r>
    </w:p>
    <w:p w14:paraId="62C63E86">
      <w:pPr>
        <w:pStyle w:val="164"/>
      </w:pPr>
      <w:r>
        <w:t>校内资源可组织 GPU 共享平台、项目版本库、数据集镜像和成果展示库；校外资源可通过企业案例、技术讲座和项目评审补充岗位情境。对外部数据和模型应建立来源审核、哈希或版本记录和安全扫描，不直接运行来历不明的 Notebook。优秀学生成果经脱敏、许可和教师复核后可沉淀为下一轮课程案例。</w:t>
      </w:r>
    </w:p>
    <w:p w14:paraId="518937B9">
      <w:pPr>
        <w:pStyle w:val="164"/>
      </w:pPr>
    </w:p>
    <w:p w14:paraId="4112E953">
      <w:r>
        <w:br w:type="page"/>
      </w:r>
    </w:p>
    <w:p w14:paraId="0397CB7C">
      <w:pPr>
        <w:pStyle w:val="166"/>
      </w:pPr>
      <w:r>
        <w:t>附录A  课程目标—模块—评价证据矩阵</w:t>
      </w:r>
    </w:p>
    <w:p w14:paraId="24E3183C">
      <w:pPr>
        <w:pStyle w:val="165"/>
      </w:pPr>
      <w:r>
        <w:t>本矩阵用于检查课程目标、教学活动和评价证据的一致性。H表示主要支撑，M表示次要支撑；课程目标达成度计算采用表中主要证据，不以学生满意度替代直接学习成果。</w:t>
      </w:r>
    </w:p>
    <w:tbl>
      <w:tblPr>
        <w:tblStyle w:val="32"/>
        <w:tblW w:w="8300" w:type="dxa"/>
        <w:jc w:val="center"/>
        <w:tblLayout w:type="fixed"/>
        <w:tblCellMar>
          <w:top w:w="0" w:type="dxa"/>
          <w:left w:w="108" w:type="dxa"/>
          <w:bottom w:w="0" w:type="dxa"/>
          <w:right w:w="108" w:type="dxa"/>
        </w:tblCellMar>
      </w:tblPr>
      <w:tblGrid>
        <w:gridCol w:w="850"/>
        <w:gridCol w:w="2500"/>
        <w:gridCol w:w="1750"/>
        <w:gridCol w:w="3200"/>
      </w:tblGrid>
      <w:tr w14:paraId="5C9CF0B1">
        <w:tblPrEx>
          <w:tblCellMar>
            <w:top w:w="0" w:type="dxa"/>
            <w:left w:w="108" w:type="dxa"/>
            <w:bottom w:w="0" w:type="dxa"/>
            <w:right w:w="108" w:type="dxa"/>
          </w:tblCellMar>
        </w:tblPrEx>
        <w:trPr>
          <w:trHeight w:val="0" w:hRule="atLeast"/>
          <w:tblHeader/>
          <w:jc w:val="center"/>
        </w:trPr>
        <w:tc>
          <w:tcPr>
            <w:tcW w:w="850" w:type="dxa"/>
            <w:shd w:val="clear" w:color="auto" w:fill="E7E6E6"/>
            <w:tcMar>
              <w:top w:w="100" w:type="dxa"/>
              <w:left w:w="100" w:type="dxa"/>
              <w:bottom w:w="100" w:type="dxa"/>
              <w:right w:w="100" w:type="dxa"/>
            </w:tcMar>
            <w:vAlign w:val="center"/>
          </w:tcPr>
          <w:p w14:paraId="43794046">
            <w:pPr>
              <w:pStyle w:val="171"/>
              <w:jc w:val="center"/>
            </w:pPr>
            <w:r>
              <w:rPr>
                <w:rFonts w:ascii="Arial" w:hAnsi="Arial" w:eastAsia="Heiti SC" w:cs="Arial"/>
                <w:b/>
                <w:sz w:val="17"/>
              </w:rPr>
              <w:t>课程目标</w:t>
            </w:r>
          </w:p>
        </w:tc>
        <w:tc>
          <w:tcPr>
            <w:tcW w:w="2500" w:type="dxa"/>
            <w:shd w:val="clear" w:color="auto" w:fill="E7E6E6"/>
            <w:tcMar>
              <w:top w:w="100" w:type="dxa"/>
              <w:left w:w="100" w:type="dxa"/>
              <w:bottom w:w="100" w:type="dxa"/>
              <w:right w:w="100" w:type="dxa"/>
            </w:tcMar>
            <w:vAlign w:val="center"/>
          </w:tcPr>
          <w:p w14:paraId="799699B7">
            <w:pPr>
              <w:pStyle w:val="171"/>
              <w:jc w:val="center"/>
            </w:pPr>
            <w:r>
              <w:rPr>
                <w:rFonts w:ascii="Arial" w:hAnsi="Arial" w:eastAsia="Heiti SC" w:cs="Arial"/>
                <w:b/>
                <w:sz w:val="17"/>
              </w:rPr>
              <w:t>目标描述</w:t>
            </w:r>
          </w:p>
        </w:tc>
        <w:tc>
          <w:tcPr>
            <w:tcW w:w="1750" w:type="dxa"/>
            <w:shd w:val="clear" w:color="auto" w:fill="E7E6E6"/>
            <w:tcMar>
              <w:top w:w="100" w:type="dxa"/>
              <w:left w:w="100" w:type="dxa"/>
              <w:bottom w:w="100" w:type="dxa"/>
              <w:right w:w="100" w:type="dxa"/>
            </w:tcMar>
            <w:vAlign w:val="center"/>
          </w:tcPr>
          <w:p w14:paraId="4F2614FA">
            <w:pPr>
              <w:pStyle w:val="171"/>
              <w:jc w:val="center"/>
            </w:pPr>
            <w:r>
              <w:rPr>
                <w:rFonts w:ascii="Arial" w:hAnsi="Arial" w:eastAsia="Heiti SC" w:cs="Arial"/>
                <w:b/>
                <w:sz w:val="17"/>
              </w:rPr>
              <w:t>支撑模块</w:t>
            </w:r>
          </w:p>
        </w:tc>
        <w:tc>
          <w:tcPr>
            <w:tcW w:w="3200" w:type="dxa"/>
            <w:shd w:val="clear" w:color="auto" w:fill="E7E6E6"/>
            <w:tcMar>
              <w:top w:w="100" w:type="dxa"/>
              <w:left w:w="100" w:type="dxa"/>
              <w:bottom w:w="100" w:type="dxa"/>
              <w:right w:w="100" w:type="dxa"/>
            </w:tcMar>
            <w:vAlign w:val="center"/>
          </w:tcPr>
          <w:p w14:paraId="2F34C0F3">
            <w:pPr>
              <w:pStyle w:val="171"/>
              <w:jc w:val="center"/>
            </w:pPr>
            <w:r>
              <w:rPr>
                <w:rFonts w:ascii="Arial" w:hAnsi="Arial" w:eastAsia="Heiti SC" w:cs="Arial"/>
                <w:b/>
                <w:sz w:val="17"/>
              </w:rPr>
              <w:t>主要评价证据</w:t>
            </w:r>
          </w:p>
        </w:tc>
      </w:tr>
      <w:tr w14:paraId="2A37491E">
        <w:tblPrEx>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1CFBF766">
            <w:pPr>
              <w:pStyle w:val="171"/>
              <w:jc w:val="center"/>
            </w:pPr>
            <w:r>
              <w:rPr>
                <w:rFonts w:ascii="Times New Roman" w:hAnsi="Times New Roman" w:eastAsia="Songti SC" w:cs="Times New Roman"/>
                <w:b w:val="0"/>
                <w:sz w:val="17"/>
              </w:rPr>
              <w:t>CO1</w:t>
            </w:r>
          </w:p>
        </w:tc>
        <w:tc>
          <w:tcPr>
            <w:tcW w:w="2500" w:type="dxa"/>
            <w:tcMar>
              <w:top w:w="100" w:type="dxa"/>
              <w:left w:w="100" w:type="dxa"/>
              <w:bottom w:w="100" w:type="dxa"/>
              <w:right w:w="100" w:type="dxa"/>
            </w:tcMar>
            <w:vAlign w:val="center"/>
          </w:tcPr>
          <w:p w14:paraId="641F46AC">
            <w:pPr>
              <w:pStyle w:val="171"/>
              <w:jc w:val="left"/>
            </w:pPr>
            <w:r>
              <w:rPr>
                <w:rFonts w:ascii="Times New Roman" w:hAnsi="Times New Roman" w:eastAsia="Songti SC" w:cs="Times New Roman"/>
                <w:b w:val="0"/>
                <w:sz w:val="17"/>
              </w:rPr>
              <w:t>张量、数学、自动微分与数据预处理</w:t>
            </w:r>
          </w:p>
        </w:tc>
        <w:tc>
          <w:tcPr>
            <w:tcW w:w="1750" w:type="dxa"/>
            <w:tcMar>
              <w:top w:w="100" w:type="dxa"/>
              <w:left w:w="100" w:type="dxa"/>
              <w:bottom w:w="100" w:type="dxa"/>
              <w:right w:w="100" w:type="dxa"/>
            </w:tcMar>
            <w:vAlign w:val="center"/>
          </w:tcPr>
          <w:p w14:paraId="43252532">
            <w:pPr>
              <w:pStyle w:val="171"/>
              <w:jc w:val="left"/>
            </w:pPr>
            <w:r>
              <w:rPr>
                <w:rFonts w:ascii="Times New Roman" w:hAnsi="Times New Roman" w:eastAsia="Songti SC" w:cs="Times New Roman"/>
                <w:b w:val="0"/>
                <w:sz w:val="17"/>
              </w:rPr>
              <w:t>M1(H)、M2(M)、M3(M)</w:t>
            </w:r>
          </w:p>
        </w:tc>
        <w:tc>
          <w:tcPr>
            <w:tcW w:w="3200" w:type="dxa"/>
            <w:tcMar>
              <w:top w:w="100" w:type="dxa"/>
              <w:left w:w="100" w:type="dxa"/>
              <w:bottom w:w="100" w:type="dxa"/>
              <w:right w:w="100" w:type="dxa"/>
            </w:tcMar>
            <w:vAlign w:val="center"/>
          </w:tcPr>
          <w:p w14:paraId="54C7E80A">
            <w:pPr>
              <w:pStyle w:val="171"/>
              <w:jc w:val="left"/>
            </w:pPr>
            <w:r>
              <w:rPr>
                <w:rFonts w:ascii="Times New Roman" w:hAnsi="Times New Roman" w:eastAsia="Songti SC" w:cs="Times New Roman"/>
                <w:b w:val="0"/>
                <w:sz w:val="17"/>
              </w:rPr>
              <w:t>形状与梯度测试、数据处理说明、口试</w:t>
            </w:r>
          </w:p>
        </w:tc>
      </w:tr>
      <w:tr w14:paraId="6A7E7179">
        <w:tblPrEx>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5D9FE791">
            <w:pPr>
              <w:pStyle w:val="171"/>
              <w:jc w:val="center"/>
            </w:pPr>
            <w:r>
              <w:rPr>
                <w:rFonts w:ascii="Times New Roman" w:hAnsi="Times New Roman" w:eastAsia="Songti SC" w:cs="Times New Roman"/>
                <w:b w:val="0"/>
                <w:sz w:val="17"/>
              </w:rPr>
              <w:t>CO2</w:t>
            </w:r>
          </w:p>
        </w:tc>
        <w:tc>
          <w:tcPr>
            <w:tcW w:w="2500" w:type="dxa"/>
            <w:tcMar>
              <w:top w:w="100" w:type="dxa"/>
              <w:left w:w="100" w:type="dxa"/>
              <w:bottom w:w="100" w:type="dxa"/>
              <w:right w:w="100" w:type="dxa"/>
            </w:tcMar>
            <w:vAlign w:val="center"/>
          </w:tcPr>
          <w:p w14:paraId="7A0B4643">
            <w:pPr>
              <w:pStyle w:val="171"/>
              <w:jc w:val="left"/>
            </w:pPr>
            <w:r>
              <w:rPr>
                <w:rFonts w:ascii="Times New Roman" w:hAnsi="Times New Roman" w:eastAsia="Songti SC" w:cs="Times New Roman"/>
                <w:b w:val="0"/>
                <w:sz w:val="17"/>
              </w:rPr>
              <w:t>监督学习基线、MLP与泛化控制</w:t>
            </w:r>
          </w:p>
        </w:tc>
        <w:tc>
          <w:tcPr>
            <w:tcW w:w="1750" w:type="dxa"/>
            <w:tcMar>
              <w:top w:w="100" w:type="dxa"/>
              <w:left w:w="100" w:type="dxa"/>
              <w:bottom w:w="100" w:type="dxa"/>
              <w:right w:w="100" w:type="dxa"/>
            </w:tcMar>
            <w:vAlign w:val="center"/>
          </w:tcPr>
          <w:p w14:paraId="48365C22">
            <w:pPr>
              <w:pStyle w:val="171"/>
              <w:jc w:val="left"/>
            </w:pPr>
            <w:r>
              <w:rPr>
                <w:rFonts w:ascii="Times New Roman" w:hAnsi="Times New Roman" w:eastAsia="Songti SC" w:cs="Times New Roman"/>
                <w:b w:val="0"/>
                <w:sz w:val="17"/>
              </w:rPr>
              <w:t>M2(H)、M3(H)</w:t>
            </w:r>
          </w:p>
        </w:tc>
        <w:tc>
          <w:tcPr>
            <w:tcW w:w="3200" w:type="dxa"/>
            <w:tcMar>
              <w:top w:w="100" w:type="dxa"/>
              <w:left w:w="100" w:type="dxa"/>
              <w:bottom w:w="100" w:type="dxa"/>
              <w:right w:w="100" w:type="dxa"/>
            </w:tcMar>
            <w:vAlign w:val="center"/>
          </w:tcPr>
          <w:p w14:paraId="1C7FB1FB">
            <w:pPr>
              <w:pStyle w:val="171"/>
              <w:jc w:val="left"/>
            </w:pPr>
            <w:r>
              <w:rPr>
                <w:rFonts w:ascii="Times New Roman" w:hAnsi="Times New Roman" w:eastAsia="Songti SC" w:cs="Times New Roman"/>
                <w:b w:val="0"/>
                <w:sz w:val="17"/>
              </w:rPr>
              <w:t>模型代码、训练曲线、正则化消融与答辩</w:t>
            </w:r>
          </w:p>
        </w:tc>
      </w:tr>
      <w:tr w14:paraId="035C2386">
        <w:tblPrEx>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754F71C5">
            <w:pPr>
              <w:pStyle w:val="171"/>
              <w:jc w:val="center"/>
            </w:pPr>
            <w:r>
              <w:rPr>
                <w:rFonts w:ascii="Times New Roman" w:hAnsi="Times New Roman" w:eastAsia="Songti SC" w:cs="Times New Roman"/>
                <w:b w:val="0"/>
                <w:sz w:val="17"/>
              </w:rPr>
              <w:t>CO3</w:t>
            </w:r>
          </w:p>
        </w:tc>
        <w:tc>
          <w:tcPr>
            <w:tcW w:w="2500" w:type="dxa"/>
            <w:tcMar>
              <w:top w:w="100" w:type="dxa"/>
              <w:left w:w="100" w:type="dxa"/>
              <w:bottom w:w="100" w:type="dxa"/>
              <w:right w:w="100" w:type="dxa"/>
            </w:tcMar>
            <w:vAlign w:val="center"/>
          </w:tcPr>
          <w:p w14:paraId="5B170AD6">
            <w:pPr>
              <w:pStyle w:val="171"/>
              <w:jc w:val="left"/>
            </w:pPr>
            <w:r>
              <w:rPr>
                <w:rFonts w:ascii="Times New Roman" w:hAnsi="Times New Roman" w:eastAsia="Songti SC" w:cs="Times New Roman"/>
                <w:b w:val="0"/>
                <w:sz w:val="17"/>
              </w:rPr>
              <w:t>卷积视觉与循环序列核心建模</w:t>
            </w:r>
          </w:p>
        </w:tc>
        <w:tc>
          <w:tcPr>
            <w:tcW w:w="1750" w:type="dxa"/>
            <w:tcMar>
              <w:top w:w="100" w:type="dxa"/>
              <w:left w:w="100" w:type="dxa"/>
              <w:bottom w:w="100" w:type="dxa"/>
              <w:right w:w="100" w:type="dxa"/>
            </w:tcMar>
            <w:vAlign w:val="center"/>
          </w:tcPr>
          <w:p w14:paraId="1A259CC5">
            <w:pPr>
              <w:pStyle w:val="171"/>
              <w:jc w:val="left"/>
            </w:pPr>
            <w:r>
              <w:rPr>
                <w:rFonts w:ascii="Times New Roman" w:hAnsi="Times New Roman" w:eastAsia="Songti SC" w:cs="Times New Roman"/>
                <w:b w:val="0"/>
                <w:sz w:val="17"/>
              </w:rPr>
              <w:t>M4(H)、M5(H)</w:t>
            </w:r>
          </w:p>
        </w:tc>
        <w:tc>
          <w:tcPr>
            <w:tcW w:w="3200" w:type="dxa"/>
            <w:tcMar>
              <w:top w:w="100" w:type="dxa"/>
              <w:left w:w="100" w:type="dxa"/>
              <w:bottom w:w="100" w:type="dxa"/>
              <w:right w:w="100" w:type="dxa"/>
            </w:tcMar>
            <w:vAlign w:val="center"/>
          </w:tcPr>
          <w:p w14:paraId="31197940">
            <w:pPr>
              <w:pStyle w:val="171"/>
              <w:jc w:val="left"/>
            </w:pPr>
            <w:r>
              <w:rPr>
                <w:rFonts w:ascii="Times New Roman" w:hAnsi="Times New Roman" w:eastAsia="Songti SC" w:cs="Times New Roman"/>
                <w:b w:val="0"/>
                <w:sz w:val="17"/>
              </w:rPr>
              <w:t>CNN/RNN代码、形状与状态测试、指标曲线</w:t>
            </w:r>
          </w:p>
        </w:tc>
      </w:tr>
      <w:tr w14:paraId="1492A6FF">
        <w:tblPrEx>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1146F3AC">
            <w:pPr>
              <w:pStyle w:val="171"/>
              <w:jc w:val="center"/>
            </w:pPr>
            <w:r>
              <w:rPr>
                <w:rFonts w:ascii="Times New Roman" w:hAnsi="Times New Roman" w:eastAsia="Songti SC" w:cs="Times New Roman"/>
                <w:b w:val="0"/>
                <w:sz w:val="17"/>
              </w:rPr>
              <w:t>CO4</w:t>
            </w:r>
          </w:p>
        </w:tc>
        <w:tc>
          <w:tcPr>
            <w:tcW w:w="2500" w:type="dxa"/>
            <w:tcMar>
              <w:top w:w="100" w:type="dxa"/>
              <w:left w:w="100" w:type="dxa"/>
              <w:bottom w:w="100" w:type="dxa"/>
              <w:right w:w="100" w:type="dxa"/>
            </w:tcMar>
            <w:vAlign w:val="center"/>
          </w:tcPr>
          <w:p w14:paraId="6BFDEC27">
            <w:pPr>
              <w:pStyle w:val="171"/>
              <w:jc w:val="left"/>
            </w:pPr>
            <w:r>
              <w:rPr>
                <w:rFonts w:ascii="Times New Roman" w:hAnsi="Times New Roman" w:eastAsia="Songti SC" w:cs="Times New Roman"/>
                <w:b w:val="0"/>
                <w:sz w:val="17"/>
              </w:rPr>
              <w:t>图像增广、迁移、检测与分割应用</w:t>
            </w:r>
          </w:p>
        </w:tc>
        <w:tc>
          <w:tcPr>
            <w:tcW w:w="1750" w:type="dxa"/>
            <w:tcMar>
              <w:top w:w="100" w:type="dxa"/>
              <w:left w:w="100" w:type="dxa"/>
              <w:bottom w:w="100" w:type="dxa"/>
              <w:right w:w="100" w:type="dxa"/>
            </w:tcMar>
            <w:vAlign w:val="center"/>
          </w:tcPr>
          <w:p w14:paraId="3305F86C">
            <w:pPr>
              <w:pStyle w:val="171"/>
              <w:jc w:val="left"/>
            </w:pPr>
            <w:r>
              <w:rPr>
                <w:rFonts w:ascii="Times New Roman" w:hAnsi="Times New Roman" w:eastAsia="Songti SC" w:cs="Times New Roman"/>
                <w:b w:val="0"/>
                <w:sz w:val="17"/>
              </w:rPr>
              <w:t>M6(H)、M7(H)、M4(M)</w:t>
            </w:r>
          </w:p>
        </w:tc>
        <w:tc>
          <w:tcPr>
            <w:tcW w:w="3200" w:type="dxa"/>
            <w:tcMar>
              <w:top w:w="100" w:type="dxa"/>
              <w:left w:w="100" w:type="dxa"/>
              <w:bottom w:w="100" w:type="dxa"/>
              <w:right w:w="100" w:type="dxa"/>
            </w:tcMar>
            <w:vAlign w:val="center"/>
          </w:tcPr>
          <w:p w14:paraId="429D8A1B">
            <w:pPr>
              <w:pStyle w:val="171"/>
              <w:jc w:val="left"/>
            </w:pPr>
            <w:r>
              <w:rPr>
                <w:rFonts w:ascii="Times New Roman" w:hAnsi="Times New Roman" w:eastAsia="Songti SC" w:cs="Times New Roman"/>
                <w:b w:val="0"/>
                <w:sz w:val="17"/>
              </w:rPr>
              <w:t>增广与微调对照、IoU/NMS测试、掩膜与错误案例</w:t>
            </w:r>
          </w:p>
        </w:tc>
      </w:tr>
      <w:tr w14:paraId="504D2DD5">
        <w:tblPrEx>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09785D9A">
            <w:pPr>
              <w:pStyle w:val="171"/>
              <w:jc w:val="center"/>
            </w:pPr>
            <w:r>
              <w:rPr>
                <w:rFonts w:ascii="Times New Roman" w:hAnsi="Times New Roman" w:eastAsia="Songti SC" w:cs="Times New Roman"/>
                <w:b w:val="0"/>
                <w:sz w:val="17"/>
              </w:rPr>
              <w:t>CO5</w:t>
            </w:r>
          </w:p>
        </w:tc>
        <w:tc>
          <w:tcPr>
            <w:tcW w:w="2500" w:type="dxa"/>
            <w:tcMar>
              <w:top w:w="100" w:type="dxa"/>
              <w:left w:w="100" w:type="dxa"/>
              <w:bottom w:w="100" w:type="dxa"/>
              <w:right w:w="100" w:type="dxa"/>
            </w:tcMar>
            <w:vAlign w:val="center"/>
          </w:tcPr>
          <w:p w14:paraId="31BE04F1">
            <w:pPr>
              <w:pStyle w:val="171"/>
              <w:jc w:val="left"/>
            </w:pPr>
            <w:r>
              <w:rPr>
                <w:rFonts w:ascii="Times New Roman" w:hAnsi="Times New Roman" w:eastAsia="Songti SC" w:cs="Times New Roman"/>
                <w:b w:val="0"/>
                <w:sz w:val="17"/>
              </w:rPr>
              <w:t>词嵌入、子词与BERT预训练表示</w:t>
            </w:r>
          </w:p>
        </w:tc>
        <w:tc>
          <w:tcPr>
            <w:tcW w:w="1750" w:type="dxa"/>
            <w:tcMar>
              <w:top w:w="100" w:type="dxa"/>
              <w:left w:w="100" w:type="dxa"/>
              <w:bottom w:w="100" w:type="dxa"/>
              <w:right w:w="100" w:type="dxa"/>
            </w:tcMar>
            <w:vAlign w:val="center"/>
          </w:tcPr>
          <w:p w14:paraId="3406FB09">
            <w:pPr>
              <w:pStyle w:val="171"/>
              <w:jc w:val="left"/>
            </w:pPr>
            <w:r>
              <w:rPr>
                <w:rFonts w:ascii="Times New Roman" w:hAnsi="Times New Roman" w:eastAsia="Songti SC" w:cs="Times New Roman"/>
                <w:b w:val="0"/>
                <w:sz w:val="17"/>
              </w:rPr>
              <w:t>M8(H)、M9(H)、M5(M)</w:t>
            </w:r>
          </w:p>
        </w:tc>
        <w:tc>
          <w:tcPr>
            <w:tcW w:w="3200" w:type="dxa"/>
            <w:tcMar>
              <w:top w:w="100" w:type="dxa"/>
              <w:left w:w="100" w:type="dxa"/>
              <w:bottom w:w="100" w:type="dxa"/>
              <w:right w:w="100" w:type="dxa"/>
            </w:tcMar>
            <w:vAlign w:val="center"/>
          </w:tcPr>
          <w:p w14:paraId="0FAADF8F">
            <w:pPr>
              <w:pStyle w:val="171"/>
              <w:jc w:val="left"/>
            </w:pPr>
            <w:r>
              <w:rPr>
                <w:rFonts w:ascii="Times New Roman" w:hAnsi="Times New Roman" w:eastAsia="Songti SC" w:cs="Times New Roman"/>
                <w:b w:val="0"/>
                <w:sz w:val="17"/>
              </w:rPr>
              <w:t>词向量样本、类比/BPE、MLM输入测试、上下文表示</w:t>
            </w:r>
          </w:p>
        </w:tc>
      </w:tr>
      <w:tr w14:paraId="17D9F993">
        <w:tblPrEx>
          <w:tblCellMar>
            <w:top w:w="0" w:type="dxa"/>
            <w:left w:w="108" w:type="dxa"/>
            <w:bottom w:w="0" w:type="dxa"/>
            <w:right w:w="108" w:type="dxa"/>
          </w:tblCellMar>
        </w:tblPrEx>
        <w:trPr>
          <w:trHeight w:val="0" w:hRule="atLeast"/>
          <w:jc w:val="center"/>
        </w:trPr>
        <w:tc>
          <w:tcPr>
            <w:tcW w:w="850" w:type="dxa"/>
            <w:tcMar>
              <w:top w:w="100" w:type="dxa"/>
              <w:left w:w="100" w:type="dxa"/>
              <w:bottom w:w="100" w:type="dxa"/>
              <w:right w:w="100" w:type="dxa"/>
            </w:tcMar>
            <w:vAlign w:val="center"/>
          </w:tcPr>
          <w:p w14:paraId="5C4F8566">
            <w:pPr>
              <w:pStyle w:val="171"/>
              <w:jc w:val="center"/>
            </w:pPr>
            <w:r>
              <w:rPr>
                <w:rFonts w:ascii="Times New Roman" w:hAnsi="Times New Roman" w:eastAsia="Songti SC" w:cs="Times New Roman"/>
                <w:b w:val="0"/>
                <w:sz w:val="17"/>
              </w:rPr>
              <w:t>CO6</w:t>
            </w:r>
          </w:p>
        </w:tc>
        <w:tc>
          <w:tcPr>
            <w:tcW w:w="2500" w:type="dxa"/>
            <w:tcMar>
              <w:top w:w="100" w:type="dxa"/>
              <w:left w:w="100" w:type="dxa"/>
              <w:bottom w:w="100" w:type="dxa"/>
              <w:right w:w="100" w:type="dxa"/>
            </w:tcMar>
            <w:vAlign w:val="center"/>
          </w:tcPr>
          <w:p w14:paraId="50976ADD">
            <w:pPr>
              <w:pStyle w:val="171"/>
              <w:jc w:val="left"/>
            </w:pPr>
            <w:r>
              <w:rPr>
                <w:rFonts w:ascii="Times New Roman" w:hAnsi="Times New Roman" w:eastAsia="Songti SC" w:cs="Times New Roman"/>
                <w:b w:val="0"/>
                <w:sz w:val="17"/>
              </w:rPr>
              <w:t>综合项目、复现、协作与责任</w:t>
            </w:r>
          </w:p>
        </w:tc>
        <w:tc>
          <w:tcPr>
            <w:tcW w:w="1750" w:type="dxa"/>
            <w:tcMar>
              <w:top w:w="100" w:type="dxa"/>
              <w:left w:w="100" w:type="dxa"/>
              <w:bottom w:w="100" w:type="dxa"/>
              <w:right w:w="100" w:type="dxa"/>
            </w:tcMar>
            <w:vAlign w:val="center"/>
          </w:tcPr>
          <w:p w14:paraId="7DAED8FE">
            <w:pPr>
              <w:pStyle w:val="171"/>
              <w:jc w:val="left"/>
            </w:pPr>
            <w:r>
              <w:rPr>
                <w:rFonts w:ascii="Times New Roman" w:hAnsi="Times New Roman" w:eastAsia="Songti SC" w:cs="Times New Roman"/>
                <w:b w:val="0"/>
                <w:sz w:val="17"/>
              </w:rPr>
              <w:t>M1—M9(H)</w:t>
            </w:r>
          </w:p>
        </w:tc>
        <w:tc>
          <w:tcPr>
            <w:tcW w:w="3200" w:type="dxa"/>
            <w:tcMar>
              <w:top w:w="100" w:type="dxa"/>
              <w:left w:w="100" w:type="dxa"/>
              <w:bottom w:w="100" w:type="dxa"/>
              <w:right w:w="100" w:type="dxa"/>
            </w:tcMar>
            <w:vAlign w:val="center"/>
          </w:tcPr>
          <w:p w14:paraId="6E620116">
            <w:pPr>
              <w:pStyle w:val="171"/>
              <w:jc w:val="left"/>
            </w:pPr>
            <w:r>
              <w:rPr>
                <w:rFonts w:ascii="Times New Roman" w:hAnsi="Times New Roman" w:eastAsia="Songti SC" w:cs="Times New Roman"/>
                <w:b w:val="0"/>
                <w:sz w:val="17"/>
              </w:rPr>
              <w:t>项目仓库、日志、模型卡、分工、风险说明与答辩</w:t>
            </w:r>
          </w:p>
        </w:tc>
      </w:tr>
    </w:tbl>
    <w:p w14:paraId="603A4C38">
      <w:pPr>
        <w:pStyle w:val="166"/>
      </w:pPr>
      <w:r>
        <w:t>附录B  综合项目评价量规</w:t>
      </w:r>
    </w:p>
    <w:tbl>
      <w:tblPr>
        <w:tblStyle w:val="32"/>
        <w:tblW w:w="8300" w:type="dxa"/>
        <w:jc w:val="center"/>
        <w:tblLayout w:type="fixed"/>
        <w:tblCellMar>
          <w:top w:w="0" w:type="dxa"/>
          <w:left w:w="108" w:type="dxa"/>
          <w:bottom w:w="0" w:type="dxa"/>
          <w:right w:w="108" w:type="dxa"/>
        </w:tblCellMar>
      </w:tblPr>
      <w:tblGrid>
        <w:gridCol w:w="1200"/>
        <w:gridCol w:w="2500"/>
        <w:gridCol w:w="2500"/>
        <w:gridCol w:w="2100"/>
      </w:tblGrid>
      <w:tr w14:paraId="7D7F0E76">
        <w:tblPrEx>
          <w:tblCellMar>
            <w:top w:w="0" w:type="dxa"/>
            <w:left w:w="108" w:type="dxa"/>
            <w:bottom w:w="0" w:type="dxa"/>
            <w:right w:w="108" w:type="dxa"/>
          </w:tblCellMar>
        </w:tblPrEx>
        <w:trPr>
          <w:trHeight w:val="0" w:hRule="atLeast"/>
          <w:tblHeader/>
          <w:jc w:val="center"/>
        </w:trPr>
        <w:tc>
          <w:tcPr>
            <w:tcW w:w="1200" w:type="dxa"/>
            <w:shd w:val="clear" w:color="auto" w:fill="E7E6E6"/>
            <w:tcMar>
              <w:top w:w="100" w:type="dxa"/>
              <w:left w:w="100" w:type="dxa"/>
              <w:bottom w:w="100" w:type="dxa"/>
              <w:right w:w="100" w:type="dxa"/>
            </w:tcMar>
            <w:vAlign w:val="center"/>
          </w:tcPr>
          <w:p w14:paraId="14AE94CF">
            <w:pPr>
              <w:pStyle w:val="171"/>
              <w:jc w:val="center"/>
            </w:pPr>
            <w:r>
              <w:rPr>
                <w:rFonts w:ascii="Arial" w:hAnsi="Arial" w:eastAsia="Heiti SC" w:cs="Arial"/>
                <w:b/>
                <w:sz w:val="16"/>
              </w:rPr>
              <w:t>维度与分值</w:t>
            </w:r>
          </w:p>
        </w:tc>
        <w:tc>
          <w:tcPr>
            <w:tcW w:w="2500" w:type="dxa"/>
            <w:shd w:val="clear" w:color="auto" w:fill="E7E6E6"/>
            <w:tcMar>
              <w:top w:w="100" w:type="dxa"/>
              <w:left w:w="100" w:type="dxa"/>
              <w:bottom w:w="100" w:type="dxa"/>
              <w:right w:w="100" w:type="dxa"/>
            </w:tcMar>
            <w:vAlign w:val="center"/>
          </w:tcPr>
          <w:p w14:paraId="7D4645B1">
            <w:pPr>
              <w:pStyle w:val="171"/>
              <w:jc w:val="center"/>
            </w:pPr>
            <w:r>
              <w:rPr>
                <w:rFonts w:ascii="Arial" w:hAnsi="Arial" w:eastAsia="Heiti SC" w:cs="Arial"/>
                <w:b/>
                <w:sz w:val="16"/>
              </w:rPr>
              <w:t>优秀</w:t>
            </w:r>
          </w:p>
        </w:tc>
        <w:tc>
          <w:tcPr>
            <w:tcW w:w="2500" w:type="dxa"/>
            <w:shd w:val="clear" w:color="auto" w:fill="E7E6E6"/>
            <w:tcMar>
              <w:top w:w="100" w:type="dxa"/>
              <w:left w:w="100" w:type="dxa"/>
              <w:bottom w:w="100" w:type="dxa"/>
              <w:right w:w="100" w:type="dxa"/>
            </w:tcMar>
            <w:vAlign w:val="center"/>
          </w:tcPr>
          <w:p w14:paraId="6D2C0ED8">
            <w:pPr>
              <w:pStyle w:val="171"/>
              <w:jc w:val="center"/>
            </w:pPr>
            <w:r>
              <w:rPr>
                <w:rFonts w:ascii="Arial" w:hAnsi="Arial" w:eastAsia="Heiti SC" w:cs="Arial"/>
                <w:b/>
                <w:sz w:val="16"/>
              </w:rPr>
              <w:t>合格</w:t>
            </w:r>
          </w:p>
        </w:tc>
        <w:tc>
          <w:tcPr>
            <w:tcW w:w="2100" w:type="dxa"/>
            <w:shd w:val="clear" w:color="auto" w:fill="E7E6E6"/>
            <w:tcMar>
              <w:top w:w="100" w:type="dxa"/>
              <w:left w:w="100" w:type="dxa"/>
              <w:bottom w:w="100" w:type="dxa"/>
              <w:right w:w="100" w:type="dxa"/>
            </w:tcMar>
            <w:vAlign w:val="center"/>
          </w:tcPr>
          <w:p w14:paraId="19E7A4F2">
            <w:pPr>
              <w:pStyle w:val="171"/>
              <w:jc w:val="center"/>
            </w:pPr>
            <w:r>
              <w:rPr>
                <w:rFonts w:ascii="Arial" w:hAnsi="Arial" w:eastAsia="Heiti SC" w:cs="Arial"/>
                <w:b/>
                <w:sz w:val="16"/>
              </w:rPr>
              <w:t>不合格</w:t>
            </w:r>
          </w:p>
        </w:tc>
      </w:tr>
      <w:tr w14:paraId="1F0AF9FA">
        <w:tblPrEx>
          <w:tblCellMar>
            <w:top w:w="0" w:type="dxa"/>
            <w:left w:w="108" w:type="dxa"/>
            <w:bottom w:w="0" w:type="dxa"/>
            <w:right w:w="108" w:type="dxa"/>
          </w:tblCellMar>
        </w:tblPrEx>
        <w:trPr>
          <w:trHeight w:val="0" w:hRule="atLeast"/>
          <w:jc w:val="center"/>
        </w:trPr>
        <w:tc>
          <w:tcPr>
            <w:tcW w:w="1200" w:type="dxa"/>
            <w:tcMar>
              <w:top w:w="100" w:type="dxa"/>
              <w:left w:w="100" w:type="dxa"/>
              <w:bottom w:w="100" w:type="dxa"/>
              <w:right w:w="100" w:type="dxa"/>
            </w:tcMar>
            <w:vAlign w:val="center"/>
          </w:tcPr>
          <w:p w14:paraId="0562E15D">
            <w:pPr>
              <w:pStyle w:val="171"/>
              <w:jc w:val="center"/>
            </w:pPr>
            <w:r>
              <w:rPr>
                <w:rFonts w:ascii="Times New Roman" w:hAnsi="Times New Roman" w:eastAsia="Songti SC" w:cs="Times New Roman"/>
                <w:b w:val="0"/>
                <w:sz w:val="16"/>
              </w:rPr>
              <w:t>问题与数据（15）</w:t>
            </w:r>
          </w:p>
        </w:tc>
        <w:tc>
          <w:tcPr>
            <w:tcW w:w="2500" w:type="dxa"/>
            <w:tcMar>
              <w:top w:w="100" w:type="dxa"/>
              <w:left w:w="100" w:type="dxa"/>
              <w:bottom w:w="100" w:type="dxa"/>
              <w:right w:w="100" w:type="dxa"/>
            </w:tcMar>
            <w:vAlign w:val="center"/>
          </w:tcPr>
          <w:p w14:paraId="4AC02D9D">
            <w:pPr>
              <w:pStyle w:val="171"/>
              <w:jc w:val="left"/>
            </w:pPr>
            <w:r>
              <w:rPr>
                <w:rFonts w:ascii="Times New Roman" w:hAnsi="Times New Roman" w:eastAsia="Songti SC" w:cs="Times New Roman"/>
                <w:b w:val="0"/>
                <w:sz w:val="16"/>
              </w:rPr>
              <w:t>任务边界、数据来源、授权、划分和基线明确，无泄漏。</w:t>
            </w:r>
          </w:p>
        </w:tc>
        <w:tc>
          <w:tcPr>
            <w:tcW w:w="2500" w:type="dxa"/>
            <w:tcMar>
              <w:top w:w="100" w:type="dxa"/>
              <w:left w:w="100" w:type="dxa"/>
              <w:bottom w:w="100" w:type="dxa"/>
              <w:right w:w="100" w:type="dxa"/>
            </w:tcMar>
            <w:vAlign w:val="center"/>
          </w:tcPr>
          <w:p w14:paraId="636B6ACC">
            <w:pPr>
              <w:pStyle w:val="171"/>
              <w:jc w:val="left"/>
            </w:pPr>
            <w:r>
              <w:rPr>
                <w:rFonts w:ascii="Times New Roman" w:hAnsi="Times New Roman" w:eastAsia="Songti SC" w:cs="Times New Roman"/>
                <w:b w:val="0"/>
                <w:sz w:val="16"/>
              </w:rPr>
              <w:t>数据说明缺项或基线不清；有轻微可修复问题。</w:t>
            </w:r>
          </w:p>
        </w:tc>
        <w:tc>
          <w:tcPr>
            <w:tcW w:w="2100" w:type="dxa"/>
            <w:tcMar>
              <w:top w:w="100" w:type="dxa"/>
              <w:left w:w="100" w:type="dxa"/>
              <w:bottom w:w="100" w:type="dxa"/>
              <w:right w:w="100" w:type="dxa"/>
            </w:tcMar>
            <w:vAlign w:val="center"/>
          </w:tcPr>
          <w:p w14:paraId="7F3E8477">
            <w:pPr>
              <w:pStyle w:val="171"/>
              <w:jc w:val="left"/>
            </w:pPr>
            <w:r>
              <w:rPr>
                <w:rFonts w:ascii="Times New Roman" w:hAnsi="Times New Roman" w:eastAsia="Songti SC" w:cs="Times New Roman"/>
                <w:b w:val="0"/>
                <w:sz w:val="16"/>
              </w:rPr>
              <w:t>存在泄漏、无授权或无法说明数据来源。</w:t>
            </w:r>
          </w:p>
        </w:tc>
      </w:tr>
      <w:tr w14:paraId="41BD5D03">
        <w:tblPrEx>
          <w:tblCellMar>
            <w:top w:w="0" w:type="dxa"/>
            <w:left w:w="108" w:type="dxa"/>
            <w:bottom w:w="0" w:type="dxa"/>
            <w:right w:w="108" w:type="dxa"/>
          </w:tblCellMar>
        </w:tblPrEx>
        <w:trPr>
          <w:trHeight w:val="0" w:hRule="atLeast"/>
          <w:jc w:val="center"/>
        </w:trPr>
        <w:tc>
          <w:tcPr>
            <w:tcW w:w="1200" w:type="dxa"/>
            <w:tcMar>
              <w:top w:w="100" w:type="dxa"/>
              <w:left w:w="100" w:type="dxa"/>
              <w:bottom w:w="100" w:type="dxa"/>
              <w:right w:w="100" w:type="dxa"/>
            </w:tcMar>
            <w:vAlign w:val="center"/>
          </w:tcPr>
          <w:p w14:paraId="5FD4674B">
            <w:pPr>
              <w:pStyle w:val="171"/>
              <w:jc w:val="center"/>
            </w:pPr>
            <w:r>
              <w:rPr>
                <w:rFonts w:ascii="Times New Roman" w:hAnsi="Times New Roman" w:eastAsia="Songti SC" w:cs="Times New Roman"/>
                <w:b w:val="0"/>
                <w:sz w:val="16"/>
              </w:rPr>
              <w:t>工程正确性（25）</w:t>
            </w:r>
          </w:p>
        </w:tc>
        <w:tc>
          <w:tcPr>
            <w:tcW w:w="2500" w:type="dxa"/>
            <w:tcMar>
              <w:top w:w="100" w:type="dxa"/>
              <w:left w:w="100" w:type="dxa"/>
              <w:bottom w:w="100" w:type="dxa"/>
              <w:right w:w="100" w:type="dxa"/>
            </w:tcMar>
            <w:vAlign w:val="center"/>
          </w:tcPr>
          <w:p w14:paraId="0507C98B">
            <w:pPr>
              <w:pStyle w:val="171"/>
              <w:jc w:val="left"/>
            </w:pPr>
            <w:r>
              <w:rPr>
                <w:rFonts w:ascii="Times New Roman" w:hAnsi="Times New Roman" w:eastAsia="Songti SC" w:cs="Times New Roman"/>
                <w:b w:val="0"/>
                <w:sz w:val="16"/>
              </w:rPr>
              <w:t>接口清晰，形状/梯度/边界框/标签掩膜/预训练数据等关键测试通过，检查点与词表可恢复。</w:t>
            </w:r>
          </w:p>
        </w:tc>
        <w:tc>
          <w:tcPr>
            <w:tcW w:w="2500" w:type="dxa"/>
            <w:tcMar>
              <w:top w:w="100" w:type="dxa"/>
              <w:left w:w="100" w:type="dxa"/>
              <w:bottom w:w="100" w:type="dxa"/>
              <w:right w:w="100" w:type="dxa"/>
            </w:tcMar>
            <w:vAlign w:val="center"/>
          </w:tcPr>
          <w:p w14:paraId="57DA80DC">
            <w:pPr>
              <w:pStyle w:val="171"/>
              <w:jc w:val="left"/>
            </w:pPr>
            <w:r>
              <w:rPr>
                <w:rFonts w:ascii="Times New Roman" w:hAnsi="Times New Roman" w:eastAsia="Songti SC" w:cs="Times New Roman"/>
                <w:b w:val="0"/>
                <w:sz w:val="16"/>
              </w:rPr>
              <w:t>主要功能可运行但测试不完整，存在硬编码或恢复缺陷。</w:t>
            </w:r>
          </w:p>
        </w:tc>
        <w:tc>
          <w:tcPr>
            <w:tcW w:w="2100" w:type="dxa"/>
            <w:tcMar>
              <w:top w:w="100" w:type="dxa"/>
              <w:left w:w="100" w:type="dxa"/>
              <w:bottom w:w="100" w:type="dxa"/>
              <w:right w:w="100" w:type="dxa"/>
            </w:tcMar>
            <w:vAlign w:val="center"/>
          </w:tcPr>
          <w:p w14:paraId="216B0816">
            <w:pPr>
              <w:pStyle w:val="171"/>
              <w:jc w:val="left"/>
            </w:pPr>
            <w:r>
              <w:rPr>
                <w:rFonts w:ascii="Times New Roman" w:hAnsi="Times New Roman" w:eastAsia="Songti SC" w:cs="Times New Roman"/>
                <w:b w:val="0"/>
                <w:sz w:val="16"/>
              </w:rPr>
              <w:t>核心功能不能运行，或无法解释主要代码。</w:t>
            </w:r>
          </w:p>
        </w:tc>
      </w:tr>
      <w:tr w14:paraId="0D94B2B3">
        <w:tblPrEx>
          <w:tblCellMar>
            <w:top w:w="0" w:type="dxa"/>
            <w:left w:w="108" w:type="dxa"/>
            <w:bottom w:w="0" w:type="dxa"/>
            <w:right w:w="108" w:type="dxa"/>
          </w:tblCellMar>
        </w:tblPrEx>
        <w:trPr>
          <w:trHeight w:val="0" w:hRule="atLeast"/>
          <w:jc w:val="center"/>
        </w:trPr>
        <w:tc>
          <w:tcPr>
            <w:tcW w:w="1200" w:type="dxa"/>
            <w:tcMar>
              <w:top w:w="100" w:type="dxa"/>
              <w:left w:w="100" w:type="dxa"/>
              <w:bottom w:w="100" w:type="dxa"/>
              <w:right w:w="100" w:type="dxa"/>
            </w:tcMar>
            <w:vAlign w:val="center"/>
          </w:tcPr>
          <w:p w14:paraId="4DAFF251">
            <w:pPr>
              <w:pStyle w:val="171"/>
              <w:jc w:val="center"/>
            </w:pPr>
            <w:r>
              <w:rPr>
                <w:rFonts w:ascii="Times New Roman" w:hAnsi="Times New Roman" w:eastAsia="Songti SC" w:cs="Times New Roman"/>
                <w:b w:val="0"/>
                <w:sz w:val="16"/>
              </w:rPr>
              <w:t>实验设计（20）</w:t>
            </w:r>
          </w:p>
        </w:tc>
        <w:tc>
          <w:tcPr>
            <w:tcW w:w="2500" w:type="dxa"/>
            <w:tcMar>
              <w:top w:w="100" w:type="dxa"/>
              <w:left w:w="100" w:type="dxa"/>
              <w:bottom w:w="100" w:type="dxa"/>
              <w:right w:w="100" w:type="dxa"/>
            </w:tcMar>
            <w:vAlign w:val="center"/>
          </w:tcPr>
          <w:p w14:paraId="6EFB1CC9">
            <w:pPr>
              <w:pStyle w:val="171"/>
              <w:jc w:val="left"/>
            </w:pPr>
            <w:r>
              <w:rPr>
                <w:rFonts w:ascii="Times New Roman" w:hAnsi="Times New Roman" w:eastAsia="Songti SC" w:cs="Times New Roman"/>
                <w:b w:val="0"/>
                <w:sz w:val="16"/>
              </w:rPr>
              <w:t>控制变量、公平预算、多种子与完整配置，保留失败实验。</w:t>
            </w:r>
          </w:p>
        </w:tc>
        <w:tc>
          <w:tcPr>
            <w:tcW w:w="2500" w:type="dxa"/>
            <w:tcMar>
              <w:top w:w="100" w:type="dxa"/>
              <w:left w:w="100" w:type="dxa"/>
              <w:bottom w:w="100" w:type="dxa"/>
              <w:right w:w="100" w:type="dxa"/>
            </w:tcMar>
            <w:vAlign w:val="center"/>
          </w:tcPr>
          <w:p w14:paraId="470EF753">
            <w:pPr>
              <w:pStyle w:val="171"/>
              <w:jc w:val="left"/>
            </w:pPr>
            <w:r>
              <w:rPr>
                <w:rFonts w:ascii="Times New Roman" w:hAnsi="Times New Roman" w:eastAsia="Songti SC" w:cs="Times New Roman"/>
                <w:b w:val="0"/>
                <w:sz w:val="16"/>
              </w:rPr>
              <w:t>有对照但协议或重复性一般，部分配置缺失。</w:t>
            </w:r>
          </w:p>
        </w:tc>
        <w:tc>
          <w:tcPr>
            <w:tcW w:w="2100" w:type="dxa"/>
            <w:tcMar>
              <w:top w:w="100" w:type="dxa"/>
              <w:left w:w="100" w:type="dxa"/>
              <w:bottom w:w="100" w:type="dxa"/>
              <w:right w:w="100" w:type="dxa"/>
            </w:tcMar>
            <w:vAlign w:val="center"/>
          </w:tcPr>
          <w:p w14:paraId="0E2D779F">
            <w:pPr>
              <w:pStyle w:val="171"/>
              <w:jc w:val="left"/>
            </w:pPr>
            <w:r>
              <w:rPr>
                <w:rFonts w:ascii="Times New Roman" w:hAnsi="Times New Roman" w:eastAsia="Songti SC" w:cs="Times New Roman"/>
                <w:b w:val="0"/>
                <w:sz w:val="16"/>
              </w:rPr>
              <w:t>只展示最好结果，比较条件不一致或无过程证据。</w:t>
            </w:r>
          </w:p>
        </w:tc>
      </w:tr>
      <w:tr w14:paraId="61B2B35D">
        <w:tblPrEx>
          <w:tblCellMar>
            <w:top w:w="0" w:type="dxa"/>
            <w:left w:w="108" w:type="dxa"/>
            <w:bottom w:w="0" w:type="dxa"/>
            <w:right w:w="108" w:type="dxa"/>
          </w:tblCellMar>
        </w:tblPrEx>
        <w:trPr>
          <w:trHeight w:val="0" w:hRule="atLeast"/>
          <w:jc w:val="center"/>
        </w:trPr>
        <w:tc>
          <w:tcPr>
            <w:tcW w:w="1200" w:type="dxa"/>
            <w:tcMar>
              <w:top w:w="100" w:type="dxa"/>
              <w:left w:w="100" w:type="dxa"/>
              <w:bottom w:w="100" w:type="dxa"/>
              <w:right w:w="100" w:type="dxa"/>
            </w:tcMar>
            <w:vAlign w:val="center"/>
          </w:tcPr>
          <w:p w14:paraId="5DE07A94">
            <w:pPr>
              <w:pStyle w:val="171"/>
              <w:jc w:val="center"/>
            </w:pPr>
            <w:r>
              <w:rPr>
                <w:rFonts w:ascii="Times New Roman" w:hAnsi="Times New Roman" w:eastAsia="Songti SC" w:cs="Times New Roman"/>
                <w:b w:val="0"/>
                <w:sz w:val="16"/>
              </w:rPr>
              <w:t>模型效果（15）</w:t>
            </w:r>
          </w:p>
        </w:tc>
        <w:tc>
          <w:tcPr>
            <w:tcW w:w="2500" w:type="dxa"/>
            <w:tcMar>
              <w:top w:w="100" w:type="dxa"/>
              <w:left w:w="100" w:type="dxa"/>
              <w:bottom w:w="100" w:type="dxa"/>
              <w:right w:w="100" w:type="dxa"/>
            </w:tcMar>
            <w:vAlign w:val="center"/>
          </w:tcPr>
          <w:p w14:paraId="275AEF2B">
            <w:pPr>
              <w:pStyle w:val="171"/>
              <w:jc w:val="left"/>
            </w:pPr>
            <w:r>
              <w:rPr>
                <w:rFonts w:ascii="Times New Roman" w:hAnsi="Times New Roman" w:eastAsia="Songti SC" w:cs="Times New Roman"/>
                <w:b w:val="0"/>
                <w:sz w:val="16"/>
              </w:rPr>
              <w:t>相对基线改进有证据，同时报告稳定性和错误样本。</w:t>
            </w:r>
          </w:p>
        </w:tc>
        <w:tc>
          <w:tcPr>
            <w:tcW w:w="2500" w:type="dxa"/>
            <w:tcMar>
              <w:top w:w="100" w:type="dxa"/>
              <w:left w:w="100" w:type="dxa"/>
              <w:bottom w:w="100" w:type="dxa"/>
              <w:right w:w="100" w:type="dxa"/>
            </w:tcMar>
            <w:vAlign w:val="center"/>
          </w:tcPr>
          <w:p w14:paraId="5C90D75E">
            <w:pPr>
              <w:pStyle w:val="171"/>
              <w:jc w:val="left"/>
            </w:pPr>
            <w:r>
              <w:rPr>
                <w:rFonts w:ascii="Times New Roman" w:hAnsi="Times New Roman" w:eastAsia="Songti SC" w:cs="Times New Roman"/>
                <w:b w:val="0"/>
                <w:sz w:val="16"/>
              </w:rPr>
              <w:t>达到基本指标但分析较浅或只报告单次结果。</w:t>
            </w:r>
          </w:p>
        </w:tc>
        <w:tc>
          <w:tcPr>
            <w:tcW w:w="2100" w:type="dxa"/>
            <w:tcMar>
              <w:top w:w="100" w:type="dxa"/>
              <w:left w:w="100" w:type="dxa"/>
              <w:bottom w:w="100" w:type="dxa"/>
              <w:right w:w="100" w:type="dxa"/>
            </w:tcMar>
            <w:vAlign w:val="center"/>
          </w:tcPr>
          <w:p w14:paraId="1C0A4621">
            <w:pPr>
              <w:pStyle w:val="171"/>
              <w:jc w:val="left"/>
            </w:pPr>
            <w:r>
              <w:rPr>
                <w:rFonts w:ascii="Times New Roman" w:hAnsi="Times New Roman" w:eastAsia="Songti SC" w:cs="Times New Roman"/>
                <w:b w:val="0"/>
                <w:sz w:val="16"/>
              </w:rPr>
              <w:t>指标计算错误、测试集用于调参或结论与证据矛盾。</w:t>
            </w:r>
          </w:p>
        </w:tc>
      </w:tr>
      <w:tr w14:paraId="3531F135">
        <w:tblPrEx>
          <w:tblCellMar>
            <w:top w:w="0" w:type="dxa"/>
            <w:left w:w="108" w:type="dxa"/>
            <w:bottom w:w="0" w:type="dxa"/>
            <w:right w:w="108" w:type="dxa"/>
          </w:tblCellMar>
        </w:tblPrEx>
        <w:trPr>
          <w:trHeight w:val="0" w:hRule="atLeast"/>
          <w:jc w:val="center"/>
        </w:trPr>
        <w:tc>
          <w:tcPr>
            <w:tcW w:w="1200" w:type="dxa"/>
            <w:tcMar>
              <w:top w:w="100" w:type="dxa"/>
              <w:left w:w="100" w:type="dxa"/>
              <w:bottom w:w="100" w:type="dxa"/>
              <w:right w:w="100" w:type="dxa"/>
            </w:tcMar>
            <w:vAlign w:val="center"/>
          </w:tcPr>
          <w:p w14:paraId="578FA405">
            <w:pPr>
              <w:pStyle w:val="171"/>
              <w:jc w:val="center"/>
            </w:pPr>
            <w:r>
              <w:rPr>
                <w:rFonts w:ascii="Times New Roman" w:hAnsi="Times New Roman" w:eastAsia="Songti SC" w:cs="Times New Roman"/>
                <w:b w:val="0"/>
                <w:sz w:val="16"/>
              </w:rPr>
              <w:t>资源效率（10）</w:t>
            </w:r>
          </w:p>
        </w:tc>
        <w:tc>
          <w:tcPr>
            <w:tcW w:w="2500" w:type="dxa"/>
            <w:tcMar>
              <w:top w:w="100" w:type="dxa"/>
              <w:left w:w="100" w:type="dxa"/>
              <w:bottom w:w="100" w:type="dxa"/>
              <w:right w:w="100" w:type="dxa"/>
            </w:tcMar>
            <w:vAlign w:val="center"/>
          </w:tcPr>
          <w:p w14:paraId="2BFBA3A9">
            <w:pPr>
              <w:pStyle w:val="171"/>
              <w:jc w:val="left"/>
            </w:pPr>
            <w:r>
              <w:rPr>
                <w:rFonts w:ascii="Times New Roman" w:hAnsi="Times New Roman" w:eastAsia="Songti SC" w:cs="Times New Roman"/>
                <w:b w:val="0"/>
                <w:sz w:val="16"/>
              </w:rPr>
              <w:t>报告参数量、时间、吞吐或显存，并给出合理权衡。</w:t>
            </w:r>
          </w:p>
        </w:tc>
        <w:tc>
          <w:tcPr>
            <w:tcW w:w="2500" w:type="dxa"/>
            <w:tcMar>
              <w:top w:w="100" w:type="dxa"/>
              <w:left w:w="100" w:type="dxa"/>
              <w:bottom w:w="100" w:type="dxa"/>
              <w:right w:w="100" w:type="dxa"/>
            </w:tcMar>
            <w:vAlign w:val="center"/>
          </w:tcPr>
          <w:p w14:paraId="26C658B5">
            <w:pPr>
              <w:pStyle w:val="171"/>
              <w:jc w:val="left"/>
            </w:pPr>
            <w:r>
              <w:rPr>
                <w:rFonts w:ascii="Times New Roman" w:hAnsi="Times New Roman" w:eastAsia="Songti SC" w:cs="Times New Roman"/>
                <w:b w:val="0"/>
                <w:sz w:val="16"/>
              </w:rPr>
              <w:t>有资源数据但测量条件或解释不完整。</w:t>
            </w:r>
          </w:p>
        </w:tc>
        <w:tc>
          <w:tcPr>
            <w:tcW w:w="2100" w:type="dxa"/>
            <w:tcMar>
              <w:top w:w="100" w:type="dxa"/>
              <w:left w:w="100" w:type="dxa"/>
              <w:bottom w:w="100" w:type="dxa"/>
              <w:right w:w="100" w:type="dxa"/>
            </w:tcMar>
            <w:vAlign w:val="center"/>
          </w:tcPr>
          <w:p w14:paraId="0D5A22DF">
            <w:pPr>
              <w:pStyle w:val="171"/>
              <w:jc w:val="left"/>
            </w:pPr>
            <w:r>
              <w:rPr>
                <w:rFonts w:ascii="Times New Roman" w:hAnsi="Times New Roman" w:eastAsia="Songti SC" w:cs="Times New Roman"/>
                <w:b w:val="0"/>
                <w:sz w:val="16"/>
              </w:rPr>
              <w:t>无资源记录，或用不公平算力比较。</w:t>
            </w:r>
          </w:p>
        </w:tc>
      </w:tr>
      <w:tr w14:paraId="31A519D7">
        <w:tblPrEx>
          <w:tblCellMar>
            <w:top w:w="0" w:type="dxa"/>
            <w:left w:w="108" w:type="dxa"/>
            <w:bottom w:w="0" w:type="dxa"/>
            <w:right w:w="108" w:type="dxa"/>
          </w:tblCellMar>
        </w:tblPrEx>
        <w:trPr>
          <w:trHeight w:val="0" w:hRule="atLeast"/>
          <w:jc w:val="center"/>
        </w:trPr>
        <w:tc>
          <w:tcPr>
            <w:tcW w:w="1200" w:type="dxa"/>
            <w:tcMar>
              <w:top w:w="100" w:type="dxa"/>
              <w:left w:w="100" w:type="dxa"/>
              <w:bottom w:w="100" w:type="dxa"/>
              <w:right w:w="100" w:type="dxa"/>
            </w:tcMar>
            <w:vAlign w:val="center"/>
          </w:tcPr>
          <w:p w14:paraId="0F243BEF">
            <w:pPr>
              <w:pStyle w:val="171"/>
              <w:jc w:val="center"/>
            </w:pPr>
            <w:r>
              <w:rPr>
                <w:rFonts w:ascii="Times New Roman" w:hAnsi="Times New Roman" w:eastAsia="Songti SC" w:cs="Times New Roman"/>
                <w:b w:val="0"/>
                <w:sz w:val="16"/>
              </w:rPr>
              <w:t>报告与答辩（10）</w:t>
            </w:r>
          </w:p>
        </w:tc>
        <w:tc>
          <w:tcPr>
            <w:tcW w:w="2500" w:type="dxa"/>
            <w:tcMar>
              <w:top w:w="100" w:type="dxa"/>
              <w:left w:w="100" w:type="dxa"/>
              <w:bottom w:w="100" w:type="dxa"/>
              <w:right w:w="100" w:type="dxa"/>
            </w:tcMar>
            <w:vAlign w:val="center"/>
          </w:tcPr>
          <w:p w14:paraId="5C7C1524">
            <w:pPr>
              <w:pStyle w:val="171"/>
              <w:jc w:val="left"/>
            </w:pPr>
            <w:r>
              <w:rPr>
                <w:rFonts w:ascii="Times New Roman" w:hAnsi="Times New Roman" w:eastAsia="Songti SC" w:cs="Times New Roman"/>
                <w:b w:val="0"/>
                <w:sz w:val="16"/>
              </w:rPr>
              <w:t>结构清楚、引用规范、复现命令有效，现场改参和解释准确。</w:t>
            </w:r>
          </w:p>
        </w:tc>
        <w:tc>
          <w:tcPr>
            <w:tcW w:w="2500" w:type="dxa"/>
            <w:tcMar>
              <w:top w:w="100" w:type="dxa"/>
              <w:left w:w="100" w:type="dxa"/>
              <w:bottom w:w="100" w:type="dxa"/>
              <w:right w:w="100" w:type="dxa"/>
            </w:tcMar>
            <w:vAlign w:val="center"/>
          </w:tcPr>
          <w:p w14:paraId="2ED95585">
            <w:pPr>
              <w:pStyle w:val="171"/>
              <w:jc w:val="left"/>
            </w:pPr>
            <w:r>
              <w:rPr>
                <w:rFonts w:ascii="Times New Roman" w:hAnsi="Times New Roman" w:eastAsia="Songti SC" w:cs="Times New Roman"/>
                <w:b w:val="0"/>
                <w:sz w:val="16"/>
              </w:rPr>
              <w:t>报告基本完整，现场解释需提示。</w:t>
            </w:r>
          </w:p>
        </w:tc>
        <w:tc>
          <w:tcPr>
            <w:tcW w:w="2100" w:type="dxa"/>
            <w:tcMar>
              <w:top w:w="100" w:type="dxa"/>
              <w:left w:w="100" w:type="dxa"/>
              <w:bottom w:w="100" w:type="dxa"/>
              <w:right w:w="100" w:type="dxa"/>
            </w:tcMar>
            <w:vAlign w:val="center"/>
          </w:tcPr>
          <w:p w14:paraId="3EE2A579">
            <w:pPr>
              <w:pStyle w:val="171"/>
              <w:jc w:val="left"/>
            </w:pPr>
            <w:r>
              <w:rPr>
                <w:rFonts w:ascii="Times New Roman" w:hAnsi="Times New Roman" w:eastAsia="Songti SC" w:cs="Times New Roman"/>
                <w:b w:val="0"/>
                <w:sz w:val="16"/>
              </w:rPr>
              <w:t>不能复现、答辩无法说明关键设计。</w:t>
            </w:r>
          </w:p>
        </w:tc>
      </w:tr>
      <w:tr w14:paraId="61698514">
        <w:tblPrEx>
          <w:tblCellMar>
            <w:top w:w="0" w:type="dxa"/>
            <w:left w:w="108" w:type="dxa"/>
            <w:bottom w:w="0" w:type="dxa"/>
            <w:right w:w="108" w:type="dxa"/>
          </w:tblCellMar>
        </w:tblPrEx>
        <w:trPr>
          <w:trHeight w:val="0" w:hRule="atLeast"/>
          <w:jc w:val="center"/>
        </w:trPr>
        <w:tc>
          <w:tcPr>
            <w:tcW w:w="1200" w:type="dxa"/>
            <w:tcMar>
              <w:top w:w="100" w:type="dxa"/>
              <w:left w:w="100" w:type="dxa"/>
              <w:bottom w:w="100" w:type="dxa"/>
              <w:right w:w="100" w:type="dxa"/>
            </w:tcMar>
            <w:vAlign w:val="center"/>
          </w:tcPr>
          <w:p w14:paraId="26DDFF91">
            <w:pPr>
              <w:pStyle w:val="171"/>
              <w:jc w:val="center"/>
            </w:pPr>
            <w:r>
              <w:rPr>
                <w:rFonts w:ascii="Times New Roman" w:hAnsi="Times New Roman" w:eastAsia="Songti SC" w:cs="Times New Roman"/>
                <w:b w:val="0"/>
                <w:sz w:val="16"/>
              </w:rPr>
              <w:t>职业规范（5）</w:t>
            </w:r>
          </w:p>
        </w:tc>
        <w:tc>
          <w:tcPr>
            <w:tcW w:w="2500" w:type="dxa"/>
            <w:tcMar>
              <w:top w:w="100" w:type="dxa"/>
              <w:left w:w="100" w:type="dxa"/>
              <w:bottom w:w="100" w:type="dxa"/>
              <w:right w:w="100" w:type="dxa"/>
            </w:tcMar>
            <w:vAlign w:val="center"/>
          </w:tcPr>
          <w:p w14:paraId="7BA1B7F5">
            <w:pPr>
              <w:pStyle w:val="171"/>
              <w:jc w:val="left"/>
            </w:pPr>
            <w:r>
              <w:rPr>
                <w:rFonts w:ascii="Times New Roman" w:hAnsi="Times New Roman" w:eastAsia="Songti SC" w:cs="Times New Roman"/>
                <w:b w:val="0"/>
                <w:sz w:val="16"/>
              </w:rPr>
              <w:t>分工、版本、隐私、版权、风险与模型边界说明完整。</w:t>
            </w:r>
          </w:p>
        </w:tc>
        <w:tc>
          <w:tcPr>
            <w:tcW w:w="2500" w:type="dxa"/>
            <w:tcMar>
              <w:top w:w="100" w:type="dxa"/>
              <w:left w:w="100" w:type="dxa"/>
              <w:bottom w:w="100" w:type="dxa"/>
              <w:right w:w="100" w:type="dxa"/>
            </w:tcMar>
            <w:vAlign w:val="center"/>
          </w:tcPr>
          <w:p w14:paraId="35181F8B">
            <w:pPr>
              <w:pStyle w:val="171"/>
              <w:jc w:val="left"/>
            </w:pPr>
            <w:r>
              <w:rPr>
                <w:rFonts w:ascii="Times New Roman" w:hAnsi="Times New Roman" w:eastAsia="Songti SC" w:cs="Times New Roman"/>
                <w:b w:val="0"/>
                <w:sz w:val="16"/>
              </w:rPr>
              <w:t>有规范意识但留痕不充分。</w:t>
            </w:r>
          </w:p>
        </w:tc>
        <w:tc>
          <w:tcPr>
            <w:tcW w:w="2100" w:type="dxa"/>
            <w:tcMar>
              <w:top w:w="100" w:type="dxa"/>
              <w:left w:w="100" w:type="dxa"/>
              <w:bottom w:w="100" w:type="dxa"/>
              <w:right w:w="100" w:type="dxa"/>
            </w:tcMar>
            <w:vAlign w:val="center"/>
          </w:tcPr>
          <w:p w14:paraId="5FC864B3">
            <w:pPr>
              <w:pStyle w:val="171"/>
              <w:jc w:val="left"/>
            </w:pPr>
            <w:r>
              <w:rPr>
                <w:rFonts w:ascii="Times New Roman" w:hAnsi="Times New Roman" w:eastAsia="Songti SC" w:cs="Times New Roman"/>
                <w:b w:val="0"/>
                <w:sz w:val="16"/>
              </w:rPr>
              <w:t>伪造、抄袭、泄露数据或隐瞒重大限制。</w:t>
            </w:r>
          </w:p>
        </w:tc>
      </w:tr>
    </w:tbl>
    <w:p w14:paraId="77816844">
      <w:pPr>
        <w:pStyle w:val="166"/>
      </w:pPr>
      <w:r>
        <w:t>附录C  项目交付与复现检查清单</w:t>
      </w:r>
    </w:p>
    <w:p w14:paraId="40215594">
      <w:pPr>
        <w:pStyle w:val="164"/>
      </w:pPr>
      <w:r>
        <w:t>1. 数据：说明来源、许可、字段、样本量、预处理、训练/验证/测试划分和泄漏检查；时间序列保持因果顺序，图像边界框/分割掩膜抽检对齐，文本语料、词表和预训练资源可追溯并完成必要脱敏。</w:t>
      </w:r>
    </w:p>
    <w:p w14:paraId="5CACCCD6">
      <w:pPr>
        <w:pStyle w:val="164"/>
      </w:pPr>
      <w:r>
        <w:t>2. 环境：提供 Python、PyTorch、CUDA 与依赖版本，记录操作系统、GPU/CPU、随机种子和复现命令；不得把密钥、个人路径和未授权数据提交到仓库。</w:t>
      </w:r>
    </w:p>
    <w:p w14:paraId="67A68FC6">
      <w:pPr>
        <w:pStyle w:val="164"/>
      </w:pPr>
      <w:r>
        <w:t>3. 代码：数据、模型、训练、评价和推理职责分离；核心函数有最小样例，关键形状、梯度、状态、边界框、标签掩膜、词表索引或预训练样本有自动测试；异常信息能够帮助定位问题。</w:t>
      </w:r>
    </w:p>
    <w:p w14:paraId="7705678F">
      <w:pPr>
        <w:pStyle w:val="164"/>
      </w:pPr>
      <w:r>
        <w:t>4. 实验：保留基线、配置、日志、曲线和失败运行；对比时固定主要条件，报告均值与波动；说明选择最佳模型的验证依据，不在测试集上反复调参。</w:t>
      </w:r>
    </w:p>
    <w:p w14:paraId="0F00AB7E">
      <w:pPr>
        <w:pStyle w:val="164"/>
      </w:pPr>
      <w:r>
        <w:t>5. 模型：保存架构配置和state_dict，连同类别映射、图像预处理、词表、特殊词元和检查点来源进行版本化，验证重建加载后输出一致；说明参数量、检查点大小、运行设备、推理输入输出和不支持的情形。</w:t>
      </w:r>
    </w:p>
    <w:p w14:paraId="2DB4BEDF">
      <w:pPr>
        <w:pStyle w:val="164"/>
      </w:pPr>
      <w:r>
        <w:t>6. 报告：结论与表格、曲线或样例一致，引用来源明确，区分事实、实验观察和推断；包含错误样本、模型限制、潜在偏差、资源成本和人工复核要求。</w:t>
      </w:r>
    </w:p>
    <w:p w14:paraId="73B031A2">
      <w:pPr>
        <w:pStyle w:val="164"/>
      </w:pPr>
      <w:r>
        <w:t>7. 团队：提交任务分工、提交记录和同伴评审；每名成员能够解释公共训练流程以及本人负责模块，发现问题及时记录并协同修复。</w:t>
      </w:r>
    </w:p>
    <w:p w14:paraId="78CCD57A">
      <w:pPr>
        <w:pStyle w:val="166"/>
      </w:pPr>
      <w:r>
        <w:t>附录D  安全、伦理与持续改进要求</w:t>
      </w:r>
    </w:p>
    <w:p w14:paraId="678D0B94">
      <w:pPr>
        <w:pStyle w:val="164"/>
      </w:pPr>
      <w:r>
        <w:t>课程实施全过程遵循数据最小化、用途限定、授权使用和安全存储原则。教师发布的数据应完成来源审核与脱敏，学生自选数据须在立项时说明许可；模型检查点、日志和生成样例中若含敏感信息，应按学校制度处理。任何为了提高分数而使用测试标签、未来信息、未经授权数据或伪造日志的行为，均破坏评价有效性。</w:t>
      </w:r>
    </w:p>
    <w:p w14:paraId="0AE426C1">
      <w:pPr>
        <w:pStyle w:val="164"/>
      </w:pPr>
      <w:r>
        <w:t>模型评价坚持性能与风险并重。分类模型分析错误样本与群体差异，序列模型检查时间泄漏和长期误差，检测/分割模型分别检查漏检、误检、小目标和边界质量，词向量与BERT表示检查语料偏见、词表覆盖和过度语义解释。对教育、医疗、金融、人事、安防等高风险场景，课程项目只作教学原型，不得直接用于真实决策，并在报告中保留人工复核和退出机制。</w:t>
      </w:r>
    </w:p>
    <w:p w14:paraId="76FB9CE4">
      <w:pPr>
        <w:pStyle w:val="164"/>
      </w:pPr>
      <w:r>
        <w:t>课程组每轮教学完成数据、环境、任务、学时和评价五类复盘。对大面积未达成的目标，先检查先修、任务难度、设备排队和量规清晰度，再决定补充讲解或调整学时；对普遍能够完成的机械步骤，减少重复操作，增加诊断、解释和迁移。所有调整形成版本说明，使课程标准、实训指导和评价工具同步更新。</w:t>
      </w:r>
    </w:p>
    <w:sectPr>
      <w:pgSz w:w="11906" w:h="16838"/>
      <w:pgMar w:top="1440" w:right="1800" w:bottom="1440" w:left="1800" w:header="850" w:footer="994"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auto"/>
    <w:pitch w:val="default"/>
    <w:sig w:usb0="E00002FF" w:usb1="6AC7FDFB" w:usb2="00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苹方-简">
    <w:altName w:val="宋体"/>
    <w:panose1 w:val="020B0400000000000000"/>
    <w:charset w:val="86"/>
    <w:family w:val="auto"/>
    <w:pitch w:val="default"/>
    <w:sig w:usb0="00000000" w:usb1="00000000" w:usb2="00000017" w:usb3="00000000" w:csb0="00040001" w:csb1="00000000"/>
  </w:font>
  <w:font w:name="Songti SC">
    <w:altName w:val="宋体"/>
    <w:panose1 w:val="02010800040101010101"/>
    <w:charset w:val="86"/>
    <w:family w:val="auto"/>
    <w:pitch w:val="default"/>
    <w:sig w:usb0="00000000" w:usb1="00000000" w:usb2="00000000" w:usb3="00000000" w:csb0="00040000" w:csb1="00000000"/>
  </w:font>
  <w:font w:name="Heiti SC">
    <w:altName w:val="宋体"/>
    <w:panose1 w:val="02000000000000000000"/>
    <w:charset w:val="86"/>
    <w:family w:val="auto"/>
    <w:pitch w:val="default"/>
    <w:sig w:usb0="00000000" w:usb1="00000000" w:usb2="00000000" w:usb3="00000000" w:csb0="203E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06F21FD"/>
    <w:rsid w:val="2BD001FB"/>
    <w:rsid w:val="2FAFEB8F"/>
    <w:rsid w:val="3714024A"/>
    <w:rsid w:val="374F61A7"/>
    <w:rsid w:val="3F694510"/>
    <w:rsid w:val="3F738B72"/>
    <w:rsid w:val="3FBFC342"/>
    <w:rsid w:val="3FFDEC08"/>
    <w:rsid w:val="483F68CE"/>
    <w:rsid w:val="4961495F"/>
    <w:rsid w:val="4AFBDC64"/>
    <w:rsid w:val="4B7D899A"/>
    <w:rsid w:val="4FDE4113"/>
    <w:rsid w:val="515E1BFE"/>
    <w:rsid w:val="5BF67A87"/>
    <w:rsid w:val="5BFC2511"/>
    <w:rsid w:val="6DDFD88A"/>
    <w:rsid w:val="6EFF1C56"/>
    <w:rsid w:val="77BBB8E2"/>
    <w:rsid w:val="7B3F53E6"/>
    <w:rsid w:val="7B9D2379"/>
    <w:rsid w:val="7BD53E83"/>
    <w:rsid w:val="7EDA4FF9"/>
    <w:rsid w:val="7EFAEC7D"/>
    <w:rsid w:val="7EFF14BF"/>
    <w:rsid w:val="7F6E866D"/>
    <w:rsid w:val="7FEFA185"/>
    <w:rsid w:val="7FFF9EDF"/>
    <w:rsid w:val="7FFFB543"/>
    <w:rsid w:val="91C72A62"/>
    <w:rsid w:val="9BDF3598"/>
    <w:rsid w:val="9DDDA63F"/>
    <w:rsid w:val="AEBFD267"/>
    <w:rsid w:val="AFFFFBD2"/>
    <w:rsid w:val="B4EF88FD"/>
    <w:rsid w:val="BDBBAF8E"/>
    <w:rsid w:val="BFFF9789"/>
    <w:rsid w:val="D3CCBD1D"/>
    <w:rsid w:val="D7BA65C5"/>
    <w:rsid w:val="DDFFEA33"/>
    <w:rsid w:val="DEFFDEB3"/>
    <w:rsid w:val="DFFD618A"/>
    <w:rsid w:val="E9EEB3CB"/>
    <w:rsid w:val="EADFB639"/>
    <w:rsid w:val="F3C6234E"/>
    <w:rsid w:val="F3F7105B"/>
    <w:rsid w:val="FAEDA9D0"/>
    <w:rsid w:val="FCFF1D92"/>
    <w:rsid w:val="FEEB5B30"/>
    <w:rsid w:val="FF5E2056"/>
    <w:rsid w:val="FFDE166E"/>
    <w:rsid w:val="FFEFE169"/>
    <w:rsid w:val="FFFB16C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课程标准正文"/>
    <w:basedOn w:val="1"/>
    <w:qFormat/>
    <w:uiPriority w:val="0"/>
    <w:pPr>
      <w:widowControl/>
      <w:spacing w:before="0" w:after="60" w:line="360" w:lineRule="auto"/>
      <w:ind w:firstLine="420"/>
      <w:jc w:val="both"/>
    </w:pPr>
    <w:rPr>
      <w:rFonts w:ascii="Times New Roman" w:hAnsi="Times New Roman" w:eastAsia="Songti SC" w:cs="Times New Roman"/>
      <w:color w:val="000000"/>
      <w:sz w:val="21"/>
    </w:rPr>
  </w:style>
  <w:style w:type="paragraph" w:customStyle="1" w:styleId="165">
    <w:name w:val="课程标准导语"/>
    <w:basedOn w:val="1"/>
    <w:qFormat/>
    <w:uiPriority w:val="0"/>
    <w:pPr>
      <w:spacing w:after="80" w:line="360" w:lineRule="auto"/>
      <w:ind w:firstLine="420"/>
      <w:jc w:val="both"/>
    </w:pPr>
    <w:rPr>
      <w:rFonts w:ascii="Times New Roman" w:hAnsi="Times New Roman" w:eastAsia="Songti SC" w:cs="Times New Roman"/>
      <w:color w:val="000000"/>
      <w:sz w:val="21"/>
    </w:rPr>
  </w:style>
  <w:style w:type="paragraph" w:customStyle="1" w:styleId="166">
    <w:name w:val="课程标准一级标题"/>
    <w:basedOn w:val="1"/>
    <w:qFormat/>
    <w:uiPriority w:val="0"/>
    <w:pPr>
      <w:keepNext/>
      <w:keepLines/>
      <w:pageBreakBefore w:val="0"/>
      <w:spacing w:before="240" w:after="120" w:line="300" w:lineRule="auto"/>
      <w:ind w:firstLine="0"/>
      <w:jc w:val="left"/>
    </w:pPr>
    <w:rPr>
      <w:rFonts w:ascii="Arial" w:hAnsi="Arial" w:eastAsia="Heiti SC" w:cs="Arial"/>
      <w:color w:val="000000"/>
      <w:sz w:val="30"/>
    </w:rPr>
  </w:style>
  <w:style w:type="paragraph" w:customStyle="1" w:styleId="167">
    <w:name w:val="课程标准二级标题"/>
    <w:basedOn w:val="1"/>
    <w:qFormat/>
    <w:uiPriority w:val="0"/>
    <w:pPr>
      <w:keepNext/>
      <w:keepLines/>
      <w:spacing w:before="180" w:after="80" w:line="300" w:lineRule="auto"/>
      <w:ind w:firstLine="0"/>
      <w:jc w:val="left"/>
    </w:pPr>
    <w:rPr>
      <w:rFonts w:ascii="Arial" w:hAnsi="Arial" w:eastAsia="Heiti SC" w:cs="Arial"/>
      <w:color w:val="000000"/>
      <w:sz w:val="24"/>
    </w:rPr>
  </w:style>
  <w:style w:type="paragraph" w:customStyle="1" w:styleId="168">
    <w:name w:val="课程标准三级标题"/>
    <w:basedOn w:val="1"/>
    <w:qFormat/>
    <w:uiPriority w:val="0"/>
    <w:pPr>
      <w:keepNext/>
      <w:keepLines/>
      <w:spacing w:before="140" w:after="60" w:line="300" w:lineRule="auto"/>
      <w:ind w:firstLine="0"/>
      <w:jc w:val="left"/>
    </w:pPr>
    <w:rPr>
      <w:rFonts w:ascii="Times New Roman" w:hAnsi="Times New Roman" w:eastAsia="Songti SC" w:cs="Times New Roman"/>
      <w:b/>
      <w:color w:val="000000"/>
      <w:sz w:val="21"/>
    </w:rPr>
  </w:style>
  <w:style w:type="paragraph" w:customStyle="1" w:styleId="169">
    <w:name w:val="课程标准四级标题"/>
    <w:basedOn w:val="1"/>
    <w:qFormat/>
    <w:uiPriority w:val="0"/>
    <w:pPr>
      <w:keepNext/>
      <w:spacing w:before="100" w:after="40" w:line="288" w:lineRule="auto"/>
      <w:ind w:firstLine="0"/>
      <w:jc w:val="left"/>
    </w:pPr>
    <w:rPr>
      <w:rFonts w:ascii="Arial" w:hAnsi="Arial" w:eastAsia="Heiti SC" w:cs="Arial"/>
      <w:color w:val="000000"/>
      <w:sz w:val="21"/>
    </w:rPr>
  </w:style>
  <w:style w:type="paragraph" w:customStyle="1" w:styleId="170">
    <w:name w:val="课程标准表题"/>
    <w:basedOn w:val="1"/>
    <w:qFormat/>
    <w:uiPriority w:val="0"/>
    <w:pPr>
      <w:keepNext/>
      <w:spacing w:before="120" w:after="60" w:line="240" w:lineRule="auto"/>
      <w:ind w:firstLine="0"/>
      <w:jc w:val="center"/>
    </w:pPr>
    <w:rPr>
      <w:rFonts w:ascii="Arial" w:hAnsi="Arial" w:eastAsia="Heiti SC" w:cs="Arial"/>
      <w:color w:val="000000"/>
      <w:sz w:val="19"/>
    </w:rPr>
  </w:style>
  <w:style w:type="paragraph" w:customStyle="1" w:styleId="171">
    <w:name w:val="课程标准表内文字"/>
    <w:basedOn w:val="1"/>
    <w:qFormat/>
    <w:uiPriority w:val="0"/>
    <w:pPr>
      <w:widowControl w:val="0"/>
      <w:spacing w:before="0" w:after="0" w:line="276" w:lineRule="auto"/>
      <w:ind w:firstLine="0"/>
      <w:jc w:val="left"/>
    </w:pPr>
    <w:rPr>
      <w:rFonts w:ascii="Times New Roman" w:hAnsi="Times New Roman" w:eastAsia="Songti SC" w:cs="Times New Roman"/>
      <w:color w:val="000000"/>
      <w:sz w:val="17"/>
    </w:rPr>
  </w:style>
  <w:style w:type="paragraph" w:customStyle="1" w:styleId="172">
    <w:name w:val="课程标准说明框"/>
    <w:basedOn w:val="1"/>
    <w:qFormat/>
    <w:uiPriority w:val="0"/>
    <w:pPr>
      <w:spacing w:before="80" w:after="120" w:line="312" w:lineRule="auto"/>
      <w:ind w:left="283" w:right="283" w:firstLine="0"/>
      <w:jc w:val="both"/>
    </w:pPr>
    <w:rPr>
      <w:rFonts w:ascii="Times New Roman" w:hAnsi="Times New Roman" w:eastAsia="Songti SC" w:cs="Times New Roman"/>
      <w:color w:val="000000"/>
      <w:sz w:val="19"/>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7472</Words>
  <Characters>7805</Characters>
  <Lines>0</Lines>
  <Paragraphs>0</Paragraphs>
  <TotalTime>8</TotalTime>
  <ScaleCrop>false</ScaleCrop>
  <LinksUpToDate>false</LinksUpToDate>
  <CharactersWithSpaces>7855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2013-12-25T07:15:00Z</dcterms:created>
  <dc:creator>XX职业院校人工智能教研室</dc:creator>
  <dc:description>由课程标准模板扩展编制；学校与单位名称为待替换占位。</dc:description>
  <cp:keywords>深度学习, PyTorch, 课程标准, 人工智能技术应用</cp:keywords>
  <cp:lastModifiedBy>NANA谢</cp:lastModifiedBy>
  <dcterms:modified xsi:type="dcterms:W3CDTF">2026-08-27T08:05:44Z</dcterms:modified>
  <dc:subject>面向人工智能技术应用专业岗位能力的校本深度学习课程标准</dc:subject>
  <dc:title>XX职业院校人工智能技术应用专业《深度学习（PyTorch）》课程标准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0D8DE9CB51964952AB6ECCF896792E0A_13</vt:lpwstr>
  </property>
  <property fmtid="{D5CDD505-2E9C-101B-9397-08002B2CF9AE}" pid="4" name="KSOTemplateDocerSaveRecord">
    <vt:lpwstr>eyJoZGlkIjoiY2ZmNDQ2NTYzZWVmZDBiNWI2YTBjYzZmOGQ5ZThkNTUiLCJ1c2VySWQiOiIxMDU4MDIyMzcyIn0=</vt:lpwstr>
  </property>
</Properties>
</file>