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F69873">
      <w:pPr>
        <w:spacing w:before="600" w:after="200"/>
        <w:jc w:val="center"/>
      </w:pPr>
      <w:bookmarkStart w:id="0" w:name="_GoBack"/>
      <w:bookmarkEnd w:id="0"/>
      <w:r>
        <w:rPr>
          <w:rFonts w:ascii="宋体" w:hAnsi="宋体" w:eastAsia="宋体" w:cs="宋体"/>
          <w:b/>
          <w:bCs/>
          <w:color w:val="1F3864"/>
          <w:sz w:val="48"/>
          <w:szCs w:val="48"/>
        </w:rPr>
        <w:t>《私有云基础架构与运维》</w:t>
      </w:r>
    </w:p>
    <w:p w14:paraId="57F5E0A9">
      <w:pPr>
        <w:pBdr>
          <w:bottom w:val="single" w:color="1F3864" w:sz="12" w:space="8"/>
        </w:pBdr>
        <w:spacing w:before="0" w:after="680"/>
        <w:jc w:val="center"/>
      </w:pPr>
      <w:r>
        <w:rPr>
          <w:rFonts w:ascii="宋体" w:hAnsi="宋体" w:eastAsia="宋体" w:cs="宋体"/>
          <w:b/>
          <w:bCs/>
          <w:color w:val="2E75B6"/>
          <w:sz w:val="32"/>
          <w:szCs w:val="32"/>
        </w:rPr>
        <w:t>课 程 标 准</w:t>
      </w:r>
    </w:p>
    <w:p w14:paraId="09D7ABEE">
      <w:pPr>
        <w:pBdr>
          <w:bottom w:val="single" w:color="2E75B6" w:sz="8" w:space="6"/>
        </w:pBdr>
        <w:spacing w:before="480" w:after="240"/>
      </w:pPr>
      <w:r>
        <w:rPr>
          <w:rFonts w:ascii="宋体" w:hAnsi="宋体" w:eastAsia="宋体" w:cs="宋体"/>
          <w:b/>
          <w:bCs/>
          <w:color w:val="1F3864"/>
          <w:sz w:val="36"/>
          <w:szCs w:val="36"/>
        </w:rPr>
        <w:t>一、课程基本信息</w:t>
      </w:r>
    </w:p>
    <w:tbl>
      <w:tblPr>
        <w:tblStyle w:val="11"/>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800"/>
        <w:gridCol w:w="2700"/>
        <w:gridCol w:w="1800"/>
        <w:gridCol w:w="2700"/>
      </w:tblGrid>
      <w:tr w14:paraId="56C4B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gridSpan w:val="4"/>
            <w:tcBorders>
              <w:top w:val="single" w:color="000000" w:sz="4" w:space="0"/>
              <w:left w:val="single" w:color="000000" w:sz="4" w:space="0"/>
              <w:bottom w:val="single" w:color="000000" w:sz="4" w:space="0"/>
              <w:right w:val="single" w:color="000000" w:sz="4" w:space="0"/>
            </w:tcBorders>
            <w:shd w:val="clear" w:color="000000" w:fill="2E75B6"/>
            <w:tcMar>
              <w:top w:w="120" w:type="dxa"/>
              <w:left w:w="120" w:type="dxa"/>
              <w:bottom w:w="120" w:type="dxa"/>
              <w:right w:w="120" w:type="dxa"/>
            </w:tcMar>
            <w:vAlign w:val="center"/>
          </w:tcPr>
          <w:p w14:paraId="20021636">
            <w:pPr>
              <w:spacing w:before="0" w:after="0"/>
              <w:jc w:val="center"/>
            </w:pPr>
            <w:r>
              <w:rPr>
                <w:rFonts w:ascii="宋体" w:hAnsi="宋体" w:eastAsia="宋体" w:cs="宋体"/>
                <w:b/>
                <w:bCs/>
                <w:color w:val="FFFFFF"/>
                <w:sz w:val="30"/>
                <w:szCs w:val="30"/>
              </w:rPr>
              <w:t>课程基本信息</w:t>
            </w:r>
          </w:p>
        </w:tc>
      </w:tr>
      <w:tr w14:paraId="18BC4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800" w:type="dxa"/>
            <w:tcBorders>
              <w:top w:val="single" w:color="000000" w:sz="4" w:space="0"/>
              <w:left w:val="single" w:color="000000" w:sz="4" w:space="0"/>
              <w:bottom w:val="single" w:color="000000" w:sz="4" w:space="0"/>
              <w:right w:val="single" w:color="000000" w:sz="4" w:space="0"/>
            </w:tcBorders>
            <w:shd w:val="clear" w:color="000000" w:fill="D9E2F3"/>
            <w:tcMar>
              <w:top w:w="80" w:type="dxa"/>
              <w:left w:w="120" w:type="dxa"/>
              <w:bottom w:w="80" w:type="dxa"/>
              <w:right w:w="120" w:type="dxa"/>
            </w:tcMar>
            <w:vAlign w:val="center"/>
          </w:tcPr>
          <w:p w14:paraId="2B2621C6">
            <w:pPr>
              <w:spacing w:before="0" w:after="0"/>
              <w:jc w:val="center"/>
            </w:pPr>
            <w:r>
              <w:rPr>
                <w:rFonts w:ascii="宋体" w:hAnsi="宋体" w:eastAsia="宋体" w:cs="宋体"/>
                <w:b/>
                <w:bCs/>
                <w:sz w:val="24"/>
                <w:szCs w:val="24"/>
              </w:rPr>
              <w:t>课程名称</w:t>
            </w:r>
          </w:p>
        </w:tc>
        <w:tc>
          <w:tcPr>
            <w:tcW w:w="7200" w:type="dxa"/>
            <w:gridSpan w:val="3"/>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vAlign w:val="center"/>
          </w:tcPr>
          <w:p w14:paraId="1599CD0C">
            <w:pPr>
              <w:spacing w:before="0" w:after="0"/>
            </w:pPr>
            <w:r>
              <w:rPr>
                <w:rFonts w:ascii="宋体" w:hAnsi="宋体" w:eastAsia="宋体" w:cs="宋体"/>
                <w:sz w:val="24"/>
                <w:szCs w:val="24"/>
              </w:rPr>
              <w:t>私有云基础架构与运维</w:t>
            </w:r>
          </w:p>
        </w:tc>
      </w:tr>
      <w:tr w14:paraId="10607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800" w:type="dxa"/>
            <w:tcBorders>
              <w:top w:val="single" w:color="000000" w:sz="4" w:space="0"/>
              <w:left w:val="single" w:color="000000" w:sz="4" w:space="0"/>
              <w:bottom w:val="single" w:color="000000" w:sz="4" w:space="0"/>
              <w:right w:val="single" w:color="000000" w:sz="4" w:space="0"/>
            </w:tcBorders>
            <w:shd w:val="clear" w:color="000000" w:fill="D9E2F3"/>
            <w:tcMar>
              <w:top w:w="80" w:type="dxa"/>
              <w:left w:w="120" w:type="dxa"/>
              <w:bottom w:w="80" w:type="dxa"/>
              <w:right w:w="120" w:type="dxa"/>
            </w:tcMar>
            <w:vAlign w:val="center"/>
          </w:tcPr>
          <w:p w14:paraId="2034A24B">
            <w:pPr>
              <w:spacing w:before="0" w:after="0"/>
              <w:jc w:val="center"/>
            </w:pPr>
            <w:r>
              <w:rPr>
                <w:rFonts w:ascii="宋体" w:hAnsi="宋体" w:eastAsia="宋体" w:cs="宋体"/>
                <w:b/>
                <w:bCs/>
                <w:sz w:val="24"/>
                <w:szCs w:val="24"/>
              </w:rPr>
              <w:t>课程编码</w:t>
            </w:r>
          </w:p>
        </w:tc>
        <w:tc>
          <w:tcPr>
            <w:tcW w:w="27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vAlign w:val="center"/>
          </w:tcPr>
          <w:p w14:paraId="2408E15D">
            <w:pPr>
              <w:spacing w:before="0" w:after="0"/>
            </w:pPr>
            <w:r>
              <w:rPr>
                <w:rFonts w:ascii="宋体" w:hAnsi="宋体" w:eastAsia="宋体" w:cs="宋体"/>
                <w:sz w:val="24"/>
                <w:szCs w:val="24"/>
              </w:rPr>
              <w:t>05041324</w:t>
            </w:r>
          </w:p>
        </w:tc>
        <w:tc>
          <w:tcPr>
            <w:tcW w:w="1800" w:type="dxa"/>
            <w:tcBorders>
              <w:top w:val="single" w:color="000000" w:sz="4" w:space="0"/>
              <w:left w:val="single" w:color="000000" w:sz="4" w:space="0"/>
              <w:bottom w:val="single" w:color="000000" w:sz="4" w:space="0"/>
              <w:right w:val="single" w:color="000000" w:sz="4" w:space="0"/>
            </w:tcBorders>
            <w:shd w:val="clear" w:color="000000" w:fill="D9E2F3"/>
            <w:tcMar>
              <w:top w:w="80" w:type="dxa"/>
              <w:left w:w="120" w:type="dxa"/>
              <w:bottom w:w="80" w:type="dxa"/>
              <w:right w:w="120" w:type="dxa"/>
            </w:tcMar>
            <w:vAlign w:val="center"/>
          </w:tcPr>
          <w:p w14:paraId="08502D67">
            <w:pPr>
              <w:spacing w:before="0" w:after="0"/>
              <w:jc w:val="center"/>
            </w:pPr>
            <w:r>
              <w:rPr>
                <w:rFonts w:ascii="宋体" w:hAnsi="宋体" w:eastAsia="宋体" w:cs="宋体"/>
                <w:b/>
                <w:bCs/>
                <w:sz w:val="24"/>
                <w:szCs w:val="24"/>
              </w:rPr>
              <w:t>课程类别</w:t>
            </w:r>
          </w:p>
        </w:tc>
        <w:tc>
          <w:tcPr>
            <w:tcW w:w="27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vAlign w:val="center"/>
          </w:tcPr>
          <w:p w14:paraId="25BF8843">
            <w:pPr>
              <w:spacing w:before="0" w:after="0"/>
            </w:pPr>
            <w:r>
              <w:rPr>
                <w:rFonts w:ascii="宋体" w:hAnsi="宋体" w:eastAsia="宋体" w:cs="宋体"/>
                <w:sz w:val="24"/>
                <w:szCs w:val="24"/>
              </w:rPr>
              <w:t>专业必修课</w:t>
            </w:r>
          </w:p>
        </w:tc>
      </w:tr>
      <w:tr w14:paraId="456E0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800" w:type="dxa"/>
            <w:tcBorders>
              <w:top w:val="single" w:color="000000" w:sz="4" w:space="0"/>
              <w:left w:val="single" w:color="000000" w:sz="4" w:space="0"/>
              <w:bottom w:val="single" w:color="000000" w:sz="4" w:space="0"/>
              <w:right w:val="single" w:color="000000" w:sz="4" w:space="0"/>
            </w:tcBorders>
            <w:shd w:val="clear" w:color="000000" w:fill="D9E2F3"/>
            <w:tcMar>
              <w:top w:w="80" w:type="dxa"/>
              <w:left w:w="120" w:type="dxa"/>
              <w:bottom w:w="80" w:type="dxa"/>
              <w:right w:w="120" w:type="dxa"/>
            </w:tcMar>
            <w:vAlign w:val="center"/>
          </w:tcPr>
          <w:p w14:paraId="2B40764D">
            <w:pPr>
              <w:spacing w:before="0" w:after="0"/>
              <w:jc w:val="center"/>
            </w:pPr>
            <w:r>
              <w:rPr>
                <w:rFonts w:ascii="宋体" w:hAnsi="宋体" w:eastAsia="宋体" w:cs="宋体"/>
                <w:b/>
                <w:bCs/>
                <w:sz w:val="24"/>
                <w:szCs w:val="24"/>
              </w:rPr>
              <w:t>学分</w:t>
            </w:r>
          </w:p>
        </w:tc>
        <w:tc>
          <w:tcPr>
            <w:tcW w:w="27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vAlign w:val="center"/>
          </w:tcPr>
          <w:p w14:paraId="7F134F38">
            <w:pPr>
              <w:spacing w:before="0" w:after="0"/>
            </w:pPr>
            <w:r>
              <w:rPr>
                <w:rFonts w:ascii="宋体" w:hAnsi="宋体" w:eastAsia="宋体" w:cs="宋体"/>
                <w:sz w:val="24"/>
                <w:szCs w:val="24"/>
              </w:rPr>
              <w:t>4</w:t>
            </w:r>
          </w:p>
        </w:tc>
        <w:tc>
          <w:tcPr>
            <w:tcW w:w="1800" w:type="dxa"/>
            <w:tcBorders>
              <w:top w:val="single" w:color="000000" w:sz="4" w:space="0"/>
              <w:left w:val="single" w:color="000000" w:sz="4" w:space="0"/>
              <w:bottom w:val="single" w:color="000000" w:sz="4" w:space="0"/>
              <w:right w:val="single" w:color="000000" w:sz="4" w:space="0"/>
            </w:tcBorders>
            <w:shd w:val="clear" w:color="000000" w:fill="D9E2F3"/>
            <w:tcMar>
              <w:top w:w="80" w:type="dxa"/>
              <w:left w:w="120" w:type="dxa"/>
              <w:bottom w:w="80" w:type="dxa"/>
              <w:right w:w="120" w:type="dxa"/>
            </w:tcMar>
            <w:vAlign w:val="center"/>
          </w:tcPr>
          <w:p w14:paraId="50BE690F">
            <w:pPr>
              <w:spacing w:before="0" w:after="0"/>
              <w:jc w:val="center"/>
            </w:pPr>
            <w:r>
              <w:rPr>
                <w:rFonts w:ascii="宋体" w:hAnsi="宋体" w:eastAsia="宋体" w:cs="宋体"/>
                <w:b/>
                <w:bCs/>
                <w:sz w:val="24"/>
                <w:szCs w:val="24"/>
              </w:rPr>
              <w:t>学时</w:t>
            </w:r>
          </w:p>
        </w:tc>
        <w:tc>
          <w:tcPr>
            <w:tcW w:w="27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vAlign w:val="center"/>
          </w:tcPr>
          <w:p w14:paraId="230BB6B5">
            <w:pPr>
              <w:spacing w:before="0" w:after="0"/>
            </w:pPr>
            <w:r>
              <w:rPr>
                <w:rFonts w:ascii="宋体" w:hAnsi="宋体" w:eastAsia="宋体" w:cs="宋体"/>
                <w:sz w:val="24"/>
                <w:szCs w:val="24"/>
              </w:rPr>
              <w:t>64</w:t>
            </w:r>
          </w:p>
        </w:tc>
      </w:tr>
      <w:tr w14:paraId="37C37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800" w:type="dxa"/>
            <w:tcBorders>
              <w:top w:val="single" w:color="000000" w:sz="4" w:space="0"/>
              <w:left w:val="single" w:color="000000" w:sz="4" w:space="0"/>
              <w:bottom w:val="single" w:color="000000" w:sz="4" w:space="0"/>
              <w:right w:val="single" w:color="000000" w:sz="4" w:space="0"/>
            </w:tcBorders>
            <w:shd w:val="clear" w:color="000000" w:fill="D9E2F3"/>
            <w:tcMar>
              <w:top w:w="80" w:type="dxa"/>
              <w:left w:w="120" w:type="dxa"/>
              <w:bottom w:w="80" w:type="dxa"/>
              <w:right w:w="120" w:type="dxa"/>
            </w:tcMar>
            <w:vAlign w:val="center"/>
          </w:tcPr>
          <w:p w14:paraId="5F5A335F">
            <w:pPr>
              <w:spacing w:before="0" w:after="0"/>
              <w:jc w:val="center"/>
            </w:pPr>
            <w:r>
              <w:rPr>
                <w:rFonts w:ascii="宋体" w:hAnsi="宋体" w:eastAsia="宋体" w:cs="宋体"/>
                <w:b/>
                <w:bCs/>
                <w:sz w:val="24"/>
                <w:szCs w:val="24"/>
              </w:rPr>
              <w:t>开课单位</w:t>
            </w:r>
          </w:p>
        </w:tc>
        <w:tc>
          <w:tcPr>
            <w:tcW w:w="27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vAlign w:val="center"/>
          </w:tcPr>
          <w:p w14:paraId="58D893AE">
            <w:pPr>
              <w:spacing w:before="0" w:after="0"/>
            </w:pPr>
            <w:r>
              <w:rPr>
                <w:rFonts w:ascii="宋体" w:hAnsi="宋体" w:eastAsia="宋体" w:cs="宋体"/>
                <w:sz w:val="24"/>
                <w:szCs w:val="24"/>
              </w:rPr>
              <w:t>智能信息工程学院</w:t>
            </w:r>
          </w:p>
        </w:tc>
        <w:tc>
          <w:tcPr>
            <w:tcW w:w="1800" w:type="dxa"/>
            <w:tcBorders>
              <w:top w:val="single" w:color="000000" w:sz="4" w:space="0"/>
              <w:left w:val="single" w:color="000000" w:sz="4" w:space="0"/>
              <w:bottom w:val="single" w:color="000000" w:sz="4" w:space="0"/>
              <w:right w:val="single" w:color="000000" w:sz="4" w:space="0"/>
            </w:tcBorders>
            <w:shd w:val="clear" w:color="000000" w:fill="D9E2F3"/>
            <w:tcMar>
              <w:top w:w="80" w:type="dxa"/>
              <w:left w:w="120" w:type="dxa"/>
              <w:bottom w:w="80" w:type="dxa"/>
              <w:right w:w="120" w:type="dxa"/>
            </w:tcMar>
            <w:vAlign w:val="center"/>
          </w:tcPr>
          <w:p w14:paraId="18751A1D">
            <w:pPr>
              <w:spacing w:before="0" w:after="0"/>
              <w:jc w:val="center"/>
            </w:pPr>
            <w:r>
              <w:rPr>
                <w:rFonts w:ascii="宋体" w:hAnsi="宋体" w:eastAsia="宋体" w:cs="宋体"/>
                <w:b/>
                <w:bCs/>
                <w:sz w:val="24"/>
                <w:szCs w:val="24"/>
              </w:rPr>
              <w:t>适用专业</w:t>
            </w:r>
          </w:p>
        </w:tc>
        <w:tc>
          <w:tcPr>
            <w:tcW w:w="27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vAlign w:val="center"/>
          </w:tcPr>
          <w:p w14:paraId="03195896">
            <w:pPr>
              <w:spacing w:before="0" w:after="0"/>
            </w:pPr>
            <w:r>
              <w:rPr>
                <w:rFonts w:ascii="宋体" w:hAnsi="宋体" w:eastAsia="宋体" w:cs="宋体"/>
                <w:sz w:val="24"/>
                <w:szCs w:val="24"/>
              </w:rPr>
              <w:t>云计算技术应用</w:t>
            </w:r>
          </w:p>
        </w:tc>
      </w:tr>
      <w:tr w14:paraId="5C12E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800" w:type="dxa"/>
            <w:tcBorders>
              <w:top w:val="single" w:color="000000" w:sz="4" w:space="0"/>
              <w:left w:val="single" w:color="000000" w:sz="4" w:space="0"/>
              <w:bottom w:val="single" w:color="000000" w:sz="4" w:space="0"/>
              <w:right w:val="single" w:color="000000" w:sz="4" w:space="0"/>
            </w:tcBorders>
            <w:shd w:val="clear" w:color="000000" w:fill="D9E2F3"/>
            <w:tcMar>
              <w:top w:w="80" w:type="dxa"/>
              <w:left w:w="120" w:type="dxa"/>
              <w:bottom w:w="80" w:type="dxa"/>
              <w:right w:w="120" w:type="dxa"/>
            </w:tcMar>
            <w:vAlign w:val="center"/>
          </w:tcPr>
          <w:p w14:paraId="325FFB36">
            <w:pPr>
              <w:spacing w:before="0" w:after="0"/>
              <w:jc w:val="center"/>
            </w:pPr>
            <w:r>
              <w:rPr>
                <w:rFonts w:ascii="宋体" w:hAnsi="宋体" w:eastAsia="宋体" w:cs="宋体"/>
                <w:b/>
                <w:bCs/>
                <w:sz w:val="24"/>
                <w:szCs w:val="24"/>
              </w:rPr>
              <w:t>先修课程</w:t>
            </w:r>
          </w:p>
        </w:tc>
        <w:tc>
          <w:tcPr>
            <w:tcW w:w="27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vAlign w:val="center"/>
          </w:tcPr>
          <w:p w14:paraId="5C30D673">
            <w:pPr>
              <w:spacing w:before="0" w:after="0"/>
            </w:pPr>
            <w:r>
              <w:rPr>
                <w:rFonts w:ascii="宋体" w:hAnsi="宋体" w:eastAsia="宋体" w:cs="宋体"/>
                <w:sz w:val="24"/>
                <w:szCs w:val="24"/>
              </w:rPr>
              <w:t>私有云基础架构与运维</w:t>
            </w:r>
          </w:p>
        </w:tc>
        <w:tc>
          <w:tcPr>
            <w:tcW w:w="1800" w:type="dxa"/>
            <w:tcBorders>
              <w:top w:val="single" w:color="000000" w:sz="4" w:space="0"/>
              <w:left w:val="single" w:color="000000" w:sz="4" w:space="0"/>
              <w:bottom w:val="single" w:color="000000" w:sz="4" w:space="0"/>
              <w:right w:val="single" w:color="000000" w:sz="4" w:space="0"/>
            </w:tcBorders>
            <w:shd w:val="clear" w:color="000000" w:fill="D9E2F3"/>
            <w:tcMar>
              <w:top w:w="80" w:type="dxa"/>
              <w:left w:w="120" w:type="dxa"/>
              <w:bottom w:w="80" w:type="dxa"/>
              <w:right w:w="120" w:type="dxa"/>
            </w:tcMar>
            <w:vAlign w:val="center"/>
          </w:tcPr>
          <w:p w14:paraId="02E002BA">
            <w:pPr>
              <w:spacing w:before="0" w:after="0"/>
              <w:jc w:val="center"/>
            </w:pPr>
            <w:r>
              <w:rPr>
                <w:rFonts w:ascii="宋体" w:hAnsi="宋体" w:eastAsia="宋体" w:cs="宋体"/>
                <w:b/>
                <w:bCs/>
                <w:sz w:val="24"/>
                <w:szCs w:val="24"/>
              </w:rPr>
              <w:t>后修课程</w:t>
            </w:r>
          </w:p>
        </w:tc>
        <w:tc>
          <w:tcPr>
            <w:tcW w:w="27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vAlign w:val="center"/>
          </w:tcPr>
          <w:p w14:paraId="22704DA0">
            <w:pPr>
              <w:spacing w:before="0" w:after="0"/>
            </w:pPr>
            <w:r>
              <w:rPr>
                <w:rFonts w:ascii="宋体" w:hAnsi="宋体" w:eastAsia="宋体" w:cs="宋体"/>
                <w:sz w:val="24"/>
                <w:szCs w:val="24"/>
              </w:rPr>
              <w:t>云安全技术应用、云计算运维开发</w:t>
            </w:r>
          </w:p>
        </w:tc>
      </w:tr>
    </w:tbl>
    <w:p w14:paraId="0E40A8EB">
      <w:pPr>
        <w:pBdr>
          <w:bottom w:val="single" w:color="2E75B6" w:sz="8" w:space="6"/>
        </w:pBdr>
        <w:spacing w:before="480" w:after="240"/>
      </w:pPr>
      <w:r>
        <w:rPr>
          <w:rFonts w:ascii="宋体" w:hAnsi="宋体" w:eastAsia="宋体" w:cs="宋体"/>
          <w:b/>
          <w:bCs/>
          <w:color w:val="1F3864"/>
          <w:sz w:val="36"/>
          <w:szCs w:val="36"/>
        </w:rPr>
        <w:t>二、课程概述</w:t>
      </w:r>
    </w:p>
    <w:p w14:paraId="57EB8309">
      <w:pPr>
        <w:spacing w:before="240" w:after="120"/>
        <w:ind w:left="240"/>
      </w:pPr>
      <w:r>
        <w:rPr>
          <w:rFonts w:ascii="宋体" w:hAnsi="宋体" w:eastAsia="宋体" w:cs="宋体"/>
          <w:color w:val="2E75B6"/>
          <w:sz w:val="28"/>
          <w:szCs w:val="28"/>
        </w:rPr>
        <w:t>▎</w:t>
      </w:r>
      <w:r>
        <w:rPr>
          <w:rFonts w:ascii="宋体" w:hAnsi="宋体" w:eastAsia="宋体" w:cs="宋体"/>
          <w:sz w:val="12"/>
          <w:szCs w:val="12"/>
        </w:rPr>
        <w:t>　</w:t>
      </w:r>
      <w:r>
        <w:rPr>
          <w:rFonts w:ascii="宋体" w:hAnsi="宋体" w:eastAsia="宋体" w:cs="宋体"/>
          <w:b/>
          <w:bCs/>
          <w:color w:val="2E75B6"/>
          <w:sz w:val="28"/>
          <w:szCs w:val="28"/>
        </w:rPr>
        <w:t>(一) 课程定位</w:t>
      </w:r>
    </w:p>
    <w:p w14:paraId="0FC5434F">
      <w:pPr>
        <w:spacing w:before="60" w:after="60" w:line="360" w:lineRule="auto"/>
        <w:ind w:firstLine="480"/>
        <w:jc w:val="both"/>
      </w:pPr>
      <w:r>
        <w:rPr>
          <w:rFonts w:ascii="宋体" w:hAnsi="宋体" w:eastAsia="宋体" w:cs="宋体"/>
          <w:sz w:val="24"/>
          <w:szCs w:val="24"/>
        </w:rPr>
        <w:t>本课程是为云计算技术应用专业学生开设的一门专业必修课。其主要内容是主流云计算平台OpenStack基础架构及组建的构建与运维，借助原生OpenStackQ版架构，使用开源脚本对平台部署形成完整流程。本课程以企业项目开发流程为情景，通过项目驱动的学习和综合实训，使学生掌握平台部署、认证服务、镜像服务、网络服务、计算服务、存储服务、超融合架构的技能。学生在学习本课程后具有一定的专业能力，可激发学生对后续专业课程的学习兴趣。通过全方位课程设计、全真的工作环境、探索研究工学结合的培养模式，提高学生职业技能，最终实现岗位无缝对接。在课程的学习中，培养善于沟通表达、善于自我学习、具备团队写作的能力。并养成规范的编码、按时交付软件等良好的工作态度。 本课程在教学计划中安排课时为64学时，理论30学时，上机实践34学时，学分为4分，考试课。</w:t>
      </w:r>
    </w:p>
    <w:p w14:paraId="0962636F">
      <w:pPr>
        <w:spacing w:before="240" w:after="120"/>
        <w:ind w:left="240"/>
      </w:pPr>
      <w:r>
        <w:rPr>
          <w:rFonts w:ascii="宋体" w:hAnsi="宋体" w:eastAsia="宋体" w:cs="宋体"/>
          <w:color w:val="2E75B6"/>
          <w:sz w:val="28"/>
          <w:szCs w:val="28"/>
        </w:rPr>
        <w:t>▎</w:t>
      </w:r>
      <w:r>
        <w:rPr>
          <w:rFonts w:ascii="宋体" w:hAnsi="宋体" w:eastAsia="宋体" w:cs="宋体"/>
          <w:sz w:val="12"/>
          <w:szCs w:val="12"/>
        </w:rPr>
        <w:t>　</w:t>
      </w:r>
      <w:r>
        <w:rPr>
          <w:rFonts w:ascii="宋体" w:hAnsi="宋体" w:eastAsia="宋体" w:cs="宋体"/>
          <w:b/>
          <w:bCs/>
          <w:color w:val="2E75B6"/>
          <w:sz w:val="28"/>
          <w:szCs w:val="28"/>
        </w:rPr>
        <w:t>(二) 课程理念</w:t>
      </w:r>
    </w:p>
    <w:p w14:paraId="65B89CF7">
      <w:pPr>
        <w:spacing w:before="60" w:after="60" w:line="360" w:lineRule="auto"/>
        <w:ind w:firstLine="480"/>
        <w:jc w:val="both"/>
      </w:pPr>
      <w:r>
        <w:rPr>
          <w:rFonts w:ascii="宋体" w:hAnsi="宋体" w:eastAsia="宋体" w:cs="宋体"/>
          <w:sz w:val="24"/>
          <w:szCs w:val="24"/>
        </w:rPr>
        <w:t xml:space="preserve">坚持以服务为宗旨，以促进就业为导向的专业建设方针；坚持“校企合作”共建专业的办学模式；坚持“工学结合”的高职人才培养模式；坚持“以学为本 ”的教育理念和“以学生为主体”的教学理念；坚持职业能力培养为主线，加强实践能力培养；加强素质教育，强化职业道德。 </w:t>
      </w:r>
    </w:p>
    <w:p w14:paraId="596B4011">
      <w:pPr>
        <w:spacing w:before="240" w:after="120"/>
        <w:ind w:left="240"/>
      </w:pPr>
      <w:r>
        <w:rPr>
          <w:rFonts w:ascii="宋体" w:hAnsi="宋体" w:eastAsia="宋体" w:cs="宋体"/>
          <w:color w:val="2E75B6"/>
          <w:sz w:val="28"/>
          <w:szCs w:val="28"/>
        </w:rPr>
        <w:t>▎</w:t>
      </w:r>
      <w:r>
        <w:rPr>
          <w:rFonts w:ascii="宋体" w:hAnsi="宋体" w:eastAsia="宋体" w:cs="宋体"/>
          <w:sz w:val="12"/>
          <w:szCs w:val="12"/>
        </w:rPr>
        <w:t>　</w:t>
      </w:r>
      <w:r>
        <w:rPr>
          <w:rFonts w:ascii="宋体" w:hAnsi="宋体" w:eastAsia="宋体" w:cs="宋体"/>
          <w:b/>
          <w:bCs/>
          <w:color w:val="2E75B6"/>
          <w:sz w:val="28"/>
          <w:szCs w:val="28"/>
        </w:rPr>
        <w:t>(三) 课程设计思路</w:t>
      </w:r>
    </w:p>
    <w:p w14:paraId="1E382E0B">
      <w:pPr>
        <w:spacing w:before="60" w:after="60" w:line="360" w:lineRule="auto"/>
        <w:ind w:firstLine="480"/>
        <w:jc w:val="both"/>
      </w:pPr>
      <w:r>
        <w:rPr>
          <w:rFonts w:ascii="宋体" w:hAnsi="宋体" w:eastAsia="宋体" w:cs="宋体"/>
          <w:sz w:val="24"/>
          <w:szCs w:val="24"/>
        </w:rPr>
        <w:t>坚持以岗位能力培养为本位的设计原则，教学内容、教学方法以及考核方式均围绕能力培养的原则来进行课程设计。 本课程结构上遵循企业开发“流程化”、项目“兴趣化”、教学“项目实战化”、模式“前瞻化” 、教材“权威化”、授课“案例化”等国内领先的IT工程师培养模式，并且结合科学的考核评价模式。内容上围绕云计算运维工程师中的能力需求选取，变知识学科本位为职业能力本位，将课程中所学知识与项目案例相结合，运用多媒体教学手段并采用讲授法、启发引导式法、情景式法、演示法、练习法、案例分析法等多种教学方法，最终让学生具备熟练掌握平台部署、认证服务、镜像服务、网络服务、计算服务、存储服务、超融合架构的能力。为相关课程打下坚实的基础。</w:t>
      </w:r>
    </w:p>
    <w:p w14:paraId="7C98EE10">
      <w:pPr>
        <w:pBdr>
          <w:bottom w:val="single" w:color="2E75B6" w:sz="8" w:space="6"/>
        </w:pBdr>
        <w:spacing w:before="480" w:after="240"/>
      </w:pPr>
      <w:r>
        <w:rPr>
          <w:rFonts w:ascii="宋体" w:hAnsi="宋体" w:eastAsia="宋体" w:cs="宋体"/>
          <w:b/>
          <w:bCs/>
          <w:color w:val="1F3864"/>
          <w:sz w:val="36"/>
          <w:szCs w:val="36"/>
        </w:rPr>
        <w:t>三、课程目标</w:t>
      </w:r>
    </w:p>
    <w:p w14:paraId="5FE67D29">
      <w:pPr>
        <w:spacing w:before="240" w:after="120"/>
        <w:ind w:left="240"/>
      </w:pPr>
      <w:r>
        <w:rPr>
          <w:rFonts w:ascii="宋体" w:hAnsi="宋体" w:eastAsia="宋体" w:cs="宋体"/>
          <w:color w:val="2E75B6"/>
          <w:sz w:val="28"/>
          <w:szCs w:val="28"/>
        </w:rPr>
        <w:t>▎</w:t>
      </w:r>
      <w:r>
        <w:rPr>
          <w:rFonts w:ascii="宋体" w:hAnsi="宋体" w:eastAsia="宋体" w:cs="宋体"/>
          <w:sz w:val="12"/>
          <w:szCs w:val="12"/>
        </w:rPr>
        <w:t>　</w:t>
      </w:r>
      <w:r>
        <w:rPr>
          <w:rFonts w:ascii="宋体" w:hAnsi="宋体" w:eastAsia="宋体" w:cs="宋体"/>
          <w:b/>
          <w:bCs/>
          <w:color w:val="2E75B6"/>
          <w:sz w:val="28"/>
          <w:szCs w:val="28"/>
        </w:rPr>
        <w:t>(一) 总目标</w:t>
      </w:r>
    </w:p>
    <w:p w14:paraId="5CE35F53">
      <w:pPr>
        <w:spacing w:before="60" w:after="60" w:line="360" w:lineRule="auto"/>
        <w:ind w:firstLine="480"/>
        <w:jc w:val="both"/>
      </w:pPr>
      <w:r>
        <w:rPr>
          <w:rFonts w:ascii="宋体" w:hAnsi="宋体" w:eastAsia="宋体" w:cs="宋体"/>
          <w:sz w:val="24"/>
          <w:szCs w:val="24"/>
        </w:rPr>
        <w:t>通过本课程的学习，使学生逐步建立和掌握平台部署、认证服务、镜像服务、网络服务、计算服务、存储服务、超融合架构的方法和能力，具备解决实际问题，吃苦耐劳、团结协作的良好品质。</w:t>
      </w:r>
    </w:p>
    <w:p w14:paraId="389A89B4">
      <w:pPr>
        <w:spacing w:before="240" w:after="120"/>
        <w:ind w:left="240"/>
      </w:pPr>
      <w:r>
        <w:rPr>
          <w:rFonts w:ascii="宋体" w:hAnsi="宋体" w:eastAsia="宋体" w:cs="宋体"/>
          <w:color w:val="2E75B6"/>
          <w:sz w:val="28"/>
          <w:szCs w:val="28"/>
        </w:rPr>
        <w:t>▎</w:t>
      </w:r>
      <w:r>
        <w:rPr>
          <w:rFonts w:ascii="宋体" w:hAnsi="宋体" w:eastAsia="宋体" w:cs="宋体"/>
          <w:sz w:val="12"/>
          <w:szCs w:val="12"/>
        </w:rPr>
        <w:t>　</w:t>
      </w:r>
      <w:r>
        <w:rPr>
          <w:rFonts w:ascii="宋体" w:hAnsi="宋体" w:eastAsia="宋体" w:cs="宋体"/>
          <w:b/>
          <w:bCs/>
          <w:color w:val="2E75B6"/>
          <w:sz w:val="28"/>
          <w:szCs w:val="28"/>
        </w:rPr>
        <w:t>(二) 具体目标</w:t>
      </w:r>
    </w:p>
    <w:p w14:paraId="19FF1E35">
      <w:pPr>
        <w:spacing w:before="160"/>
      </w:pPr>
    </w:p>
    <w:tbl>
      <w:tblPr>
        <w:tblStyle w:val="11"/>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400"/>
        <w:gridCol w:w="7600"/>
      </w:tblGrid>
      <w:tr w14:paraId="50489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400" w:type="dxa"/>
            <w:tcBorders>
              <w:top w:val="single" w:color="000000" w:sz="4" w:space="0"/>
              <w:left w:val="single" w:color="000000" w:sz="4" w:space="0"/>
              <w:bottom w:val="single" w:color="000000" w:sz="4" w:space="0"/>
              <w:right w:val="single" w:color="000000" w:sz="4" w:space="0"/>
            </w:tcBorders>
            <w:shd w:val="clear" w:color="000000" w:fill="2E75B6"/>
            <w:tcMar>
              <w:top w:w="80" w:type="dxa"/>
              <w:left w:w="120" w:type="dxa"/>
              <w:bottom w:w="80" w:type="dxa"/>
              <w:right w:w="120" w:type="dxa"/>
            </w:tcMar>
            <w:vAlign w:val="center"/>
          </w:tcPr>
          <w:p w14:paraId="3EDEA5DB">
            <w:pPr>
              <w:jc w:val="center"/>
            </w:pPr>
            <w:r>
              <w:rPr>
                <w:rFonts w:ascii="宋体" w:hAnsi="宋体" w:eastAsia="宋体" w:cs="宋体"/>
                <w:b/>
                <w:bCs/>
                <w:color w:val="FFFFFF"/>
                <w:sz w:val="24"/>
                <w:szCs w:val="24"/>
              </w:rPr>
              <w:t>序号</w:t>
            </w:r>
          </w:p>
        </w:tc>
        <w:tc>
          <w:tcPr>
            <w:tcW w:w="7600" w:type="dxa"/>
            <w:tcBorders>
              <w:top w:val="single" w:color="000000" w:sz="4" w:space="0"/>
              <w:left w:val="single" w:color="000000" w:sz="4" w:space="0"/>
              <w:bottom w:val="single" w:color="000000" w:sz="4" w:space="0"/>
              <w:right w:val="single" w:color="000000" w:sz="4" w:space="0"/>
            </w:tcBorders>
            <w:shd w:val="clear" w:color="000000" w:fill="2E75B6"/>
            <w:tcMar>
              <w:top w:w="80" w:type="dxa"/>
              <w:left w:w="120" w:type="dxa"/>
              <w:bottom w:w="80" w:type="dxa"/>
              <w:right w:w="120" w:type="dxa"/>
            </w:tcMar>
            <w:vAlign w:val="center"/>
          </w:tcPr>
          <w:p w14:paraId="77223A35">
            <w:pPr>
              <w:jc w:val="center"/>
            </w:pPr>
            <w:r>
              <w:rPr>
                <w:rFonts w:ascii="宋体" w:hAnsi="宋体" w:eastAsia="宋体" w:cs="宋体"/>
                <w:b/>
                <w:bCs/>
                <w:color w:val="FFFFFF"/>
                <w:sz w:val="24"/>
                <w:szCs w:val="24"/>
              </w:rPr>
              <w:t>知识目标</w:t>
            </w:r>
          </w:p>
        </w:tc>
      </w:tr>
      <w:tr w14:paraId="6E283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400" w:type="dxa"/>
            <w:tcBorders>
              <w:top w:val="single" w:color="000000" w:sz="4" w:space="0"/>
              <w:left w:val="single" w:color="000000" w:sz="4" w:space="0"/>
              <w:bottom w:val="single" w:color="000000" w:sz="4" w:space="0"/>
              <w:right w:val="single" w:color="000000" w:sz="4" w:space="0"/>
            </w:tcBorders>
            <w:shd w:val="clear" w:color="000000" w:fill="D9E2F3"/>
            <w:tcMar>
              <w:top w:w="80" w:type="dxa"/>
              <w:left w:w="120" w:type="dxa"/>
              <w:bottom w:w="80" w:type="dxa"/>
              <w:right w:w="120" w:type="dxa"/>
            </w:tcMar>
            <w:vAlign w:val="center"/>
          </w:tcPr>
          <w:p w14:paraId="09771950">
            <w:pPr>
              <w:jc w:val="center"/>
            </w:pPr>
            <w:r>
              <w:rPr>
                <w:rFonts w:ascii="宋体" w:hAnsi="宋体" w:eastAsia="宋体" w:cs="宋体"/>
                <w:b/>
                <w:bCs/>
                <w:sz w:val="24"/>
                <w:szCs w:val="24"/>
              </w:rPr>
              <w:t>K1</w:t>
            </w:r>
          </w:p>
        </w:tc>
        <w:tc>
          <w:tcPr>
            <w:tcW w:w="76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vAlign w:val="center"/>
          </w:tcPr>
          <w:p w14:paraId="7D283E5B">
            <w:r>
              <w:rPr>
                <w:rFonts w:ascii="宋体" w:hAnsi="宋体" w:eastAsia="宋体" w:cs="宋体"/>
                <w:sz w:val="24"/>
                <w:szCs w:val="24"/>
              </w:rPr>
              <w:t>掌握云计算基础知识和相关概念</w:t>
            </w:r>
          </w:p>
        </w:tc>
      </w:tr>
      <w:tr w14:paraId="7522B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400" w:type="dxa"/>
            <w:tcBorders>
              <w:top w:val="single" w:color="000000" w:sz="4" w:space="0"/>
              <w:left w:val="single" w:color="000000" w:sz="4" w:space="0"/>
              <w:bottom w:val="single" w:color="000000" w:sz="4" w:space="0"/>
              <w:right w:val="single" w:color="000000" w:sz="4" w:space="0"/>
            </w:tcBorders>
            <w:shd w:val="clear" w:color="000000" w:fill="D9E2F3"/>
            <w:tcMar>
              <w:top w:w="80" w:type="dxa"/>
              <w:left w:w="120" w:type="dxa"/>
              <w:bottom w:w="80" w:type="dxa"/>
              <w:right w:w="120" w:type="dxa"/>
            </w:tcMar>
            <w:vAlign w:val="center"/>
          </w:tcPr>
          <w:p w14:paraId="5837939F">
            <w:pPr>
              <w:jc w:val="center"/>
            </w:pPr>
            <w:r>
              <w:rPr>
                <w:rFonts w:ascii="宋体" w:hAnsi="宋体" w:eastAsia="宋体" w:cs="宋体"/>
                <w:b/>
                <w:bCs/>
                <w:sz w:val="24"/>
                <w:szCs w:val="24"/>
              </w:rPr>
              <w:t>K2</w:t>
            </w:r>
          </w:p>
        </w:tc>
        <w:tc>
          <w:tcPr>
            <w:tcW w:w="76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vAlign w:val="center"/>
          </w:tcPr>
          <w:p w14:paraId="2BBF59AB">
            <w:r>
              <w:rPr>
                <w:rFonts w:ascii="宋体" w:hAnsi="宋体" w:eastAsia="宋体" w:cs="宋体"/>
                <w:sz w:val="24"/>
                <w:szCs w:val="24"/>
              </w:rPr>
              <w:t>掌握OpenStack中的认证服务运维的相关知识</w:t>
            </w:r>
          </w:p>
        </w:tc>
      </w:tr>
      <w:tr w14:paraId="5A85F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400" w:type="dxa"/>
            <w:tcBorders>
              <w:top w:val="single" w:color="000000" w:sz="4" w:space="0"/>
              <w:left w:val="single" w:color="000000" w:sz="4" w:space="0"/>
              <w:bottom w:val="single" w:color="000000" w:sz="4" w:space="0"/>
              <w:right w:val="single" w:color="000000" w:sz="4" w:space="0"/>
            </w:tcBorders>
            <w:shd w:val="clear" w:color="000000" w:fill="D9E2F3"/>
            <w:tcMar>
              <w:top w:w="80" w:type="dxa"/>
              <w:left w:w="120" w:type="dxa"/>
              <w:bottom w:w="80" w:type="dxa"/>
              <w:right w:w="120" w:type="dxa"/>
            </w:tcMar>
            <w:vAlign w:val="center"/>
          </w:tcPr>
          <w:p w14:paraId="505D00FC">
            <w:pPr>
              <w:jc w:val="center"/>
            </w:pPr>
            <w:r>
              <w:rPr>
                <w:rFonts w:ascii="宋体" w:hAnsi="宋体" w:eastAsia="宋体" w:cs="宋体"/>
                <w:b/>
                <w:bCs/>
                <w:sz w:val="24"/>
                <w:szCs w:val="24"/>
              </w:rPr>
              <w:t>K3</w:t>
            </w:r>
          </w:p>
        </w:tc>
        <w:tc>
          <w:tcPr>
            <w:tcW w:w="76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vAlign w:val="center"/>
          </w:tcPr>
          <w:p w14:paraId="2B2BF9C8">
            <w:r>
              <w:rPr>
                <w:rFonts w:ascii="宋体" w:hAnsi="宋体" w:eastAsia="宋体" w:cs="宋体"/>
                <w:sz w:val="24"/>
                <w:szCs w:val="24"/>
              </w:rPr>
              <w:t>掌握OpenStack中的镜像服务运维的相关知识</w:t>
            </w:r>
          </w:p>
        </w:tc>
      </w:tr>
      <w:tr w14:paraId="2C7F1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400" w:type="dxa"/>
            <w:tcBorders>
              <w:top w:val="single" w:color="000000" w:sz="4" w:space="0"/>
              <w:left w:val="single" w:color="000000" w:sz="4" w:space="0"/>
              <w:bottom w:val="single" w:color="000000" w:sz="4" w:space="0"/>
              <w:right w:val="single" w:color="000000" w:sz="4" w:space="0"/>
            </w:tcBorders>
            <w:shd w:val="clear" w:color="000000" w:fill="D9E2F3"/>
            <w:tcMar>
              <w:top w:w="80" w:type="dxa"/>
              <w:left w:w="120" w:type="dxa"/>
              <w:bottom w:w="80" w:type="dxa"/>
              <w:right w:w="120" w:type="dxa"/>
            </w:tcMar>
            <w:vAlign w:val="center"/>
          </w:tcPr>
          <w:p w14:paraId="4E629C07">
            <w:pPr>
              <w:jc w:val="center"/>
            </w:pPr>
            <w:r>
              <w:rPr>
                <w:rFonts w:ascii="宋体" w:hAnsi="宋体" w:eastAsia="宋体" w:cs="宋体"/>
                <w:b/>
                <w:bCs/>
                <w:sz w:val="24"/>
                <w:szCs w:val="24"/>
              </w:rPr>
              <w:t>K4</w:t>
            </w:r>
          </w:p>
        </w:tc>
        <w:tc>
          <w:tcPr>
            <w:tcW w:w="76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vAlign w:val="center"/>
          </w:tcPr>
          <w:p w14:paraId="45ED93B5">
            <w:r>
              <w:rPr>
                <w:rFonts w:ascii="宋体" w:hAnsi="宋体" w:eastAsia="宋体" w:cs="宋体"/>
                <w:sz w:val="24"/>
                <w:szCs w:val="24"/>
              </w:rPr>
              <w:t>掌握OpenStack中的网络服务运维的相关知识</w:t>
            </w:r>
          </w:p>
        </w:tc>
      </w:tr>
      <w:tr w14:paraId="55906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400" w:type="dxa"/>
            <w:tcBorders>
              <w:top w:val="single" w:color="000000" w:sz="4" w:space="0"/>
              <w:left w:val="single" w:color="000000" w:sz="4" w:space="0"/>
              <w:bottom w:val="single" w:color="000000" w:sz="4" w:space="0"/>
              <w:right w:val="single" w:color="000000" w:sz="4" w:space="0"/>
            </w:tcBorders>
            <w:shd w:val="clear" w:color="000000" w:fill="D9E2F3"/>
            <w:tcMar>
              <w:top w:w="80" w:type="dxa"/>
              <w:left w:w="120" w:type="dxa"/>
              <w:bottom w:w="80" w:type="dxa"/>
              <w:right w:w="120" w:type="dxa"/>
            </w:tcMar>
            <w:vAlign w:val="center"/>
          </w:tcPr>
          <w:p w14:paraId="5C397E97">
            <w:pPr>
              <w:jc w:val="center"/>
            </w:pPr>
            <w:r>
              <w:rPr>
                <w:rFonts w:ascii="宋体" w:hAnsi="宋体" w:eastAsia="宋体" w:cs="宋体"/>
                <w:b/>
                <w:bCs/>
                <w:sz w:val="24"/>
                <w:szCs w:val="24"/>
              </w:rPr>
              <w:t>K5</w:t>
            </w:r>
          </w:p>
        </w:tc>
        <w:tc>
          <w:tcPr>
            <w:tcW w:w="76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vAlign w:val="center"/>
          </w:tcPr>
          <w:p w14:paraId="0DCEFDF0">
            <w:r>
              <w:rPr>
                <w:rFonts w:ascii="宋体" w:hAnsi="宋体" w:eastAsia="宋体" w:cs="宋体"/>
                <w:sz w:val="24"/>
                <w:szCs w:val="24"/>
              </w:rPr>
              <w:t>掌握OpenStack中的计算服务运维的相关知识</w:t>
            </w:r>
          </w:p>
        </w:tc>
      </w:tr>
      <w:tr w14:paraId="341A3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400" w:type="dxa"/>
            <w:tcBorders>
              <w:top w:val="single" w:color="000000" w:sz="4" w:space="0"/>
              <w:left w:val="single" w:color="000000" w:sz="4" w:space="0"/>
              <w:bottom w:val="single" w:color="000000" w:sz="4" w:space="0"/>
              <w:right w:val="single" w:color="000000" w:sz="4" w:space="0"/>
            </w:tcBorders>
            <w:shd w:val="clear" w:color="000000" w:fill="D9E2F3"/>
            <w:tcMar>
              <w:top w:w="80" w:type="dxa"/>
              <w:left w:w="120" w:type="dxa"/>
              <w:bottom w:w="80" w:type="dxa"/>
              <w:right w:w="120" w:type="dxa"/>
            </w:tcMar>
            <w:vAlign w:val="center"/>
          </w:tcPr>
          <w:p w14:paraId="1189AFE1">
            <w:pPr>
              <w:jc w:val="center"/>
            </w:pPr>
            <w:r>
              <w:rPr>
                <w:rFonts w:ascii="宋体" w:hAnsi="宋体" w:eastAsia="宋体" w:cs="宋体"/>
                <w:b/>
                <w:bCs/>
                <w:sz w:val="24"/>
                <w:szCs w:val="24"/>
              </w:rPr>
              <w:t>K6</w:t>
            </w:r>
          </w:p>
        </w:tc>
        <w:tc>
          <w:tcPr>
            <w:tcW w:w="76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vAlign w:val="center"/>
          </w:tcPr>
          <w:p w14:paraId="428B763E">
            <w:r>
              <w:rPr>
                <w:rFonts w:ascii="宋体" w:hAnsi="宋体" w:eastAsia="宋体" w:cs="宋体"/>
                <w:sz w:val="24"/>
                <w:szCs w:val="24"/>
              </w:rPr>
              <w:t>掌握OpenStack中的存储服务运维的相关知识</w:t>
            </w:r>
          </w:p>
        </w:tc>
      </w:tr>
      <w:tr w14:paraId="6248C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400" w:type="dxa"/>
            <w:tcBorders>
              <w:top w:val="single" w:color="000000" w:sz="4" w:space="0"/>
              <w:left w:val="single" w:color="000000" w:sz="4" w:space="0"/>
              <w:bottom w:val="single" w:color="000000" w:sz="4" w:space="0"/>
              <w:right w:val="single" w:color="000000" w:sz="4" w:space="0"/>
            </w:tcBorders>
            <w:shd w:val="clear" w:color="000000" w:fill="2E75B6"/>
            <w:tcMar>
              <w:top w:w="80" w:type="dxa"/>
              <w:left w:w="120" w:type="dxa"/>
              <w:bottom w:w="80" w:type="dxa"/>
              <w:right w:w="120" w:type="dxa"/>
            </w:tcMar>
            <w:vAlign w:val="center"/>
          </w:tcPr>
          <w:p w14:paraId="2FB61C6B">
            <w:pPr>
              <w:jc w:val="center"/>
            </w:pPr>
            <w:r>
              <w:rPr>
                <w:rFonts w:ascii="宋体" w:hAnsi="宋体" w:eastAsia="宋体" w:cs="宋体"/>
                <w:b/>
                <w:bCs/>
                <w:color w:val="FFFFFF"/>
                <w:sz w:val="24"/>
                <w:szCs w:val="24"/>
              </w:rPr>
              <w:t>序号</w:t>
            </w:r>
          </w:p>
        </w:tc>
        <w:tc>
          <w:tcPr>
            <w:tcW w:w="7600" w:type="dxa"/>
            <w:tcBorders>
              <w:top w:val="single" w:color="000000" w:sz="4" w:space="0"/>
              <w:left w:val="single" w:color="000000" w:sz="4" w:space="0"/>
              <w:bottom w:val="single" w:color="000000" w:sz="4" w:space="0"/>
              <w:right w:val="single" w:color="000000" w:sz="4" w:space="0"/>
            </w:tcBorders>
            <w:shd w:val="clear" w:color="000000" w:fill="2E75B6"/>
            <w:tcMar>
              <w:top w:w="80" w:type="dxa"/>
              <w:left w:w="120" w:type="dxa"/>
              <w:bottom w:w="80" w:type="dxa"/>
              <w:right w:w="120" w:type="dxa"/>
            </w:tcMar>
            <w:vAlign w:val="center"/>
          </w:tcPr>
          <w:p w14:paraId="0C1D65D7">
            <w:pPr>
              <w:jc w:val="center"/>
            </w:pPr>
            <w:r>
              <w:rPr>
                <w:rFonts w:ascii="宋体" w:hAnsi="宋体" w:eastAsia="宋体" w:cs="宋体"/>
                <w:b/>
                <w:bCs/>
                <w:color w:val="FFFFFF"/>
                <w:sz w:val="24"/>
                <w:szCs w:val="24"/>
              </w:rPr>
              <w:t>技能目标</w:t>
            </w:r>
          </w:p>
        </w:tc>
      </w:tr>
      <w:tr w14:paraId="5AC14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400" w:type="dxa"/>
            <w:tcBorders>
              <w:top w:val="single" w:color="000000" w:sz="4" w:space="0"/>
              <w:left w:val="single" w:color="000000" w:sz="4" w:space="0"/>
              <w:bottom w:val="single" w:color="000000" w:sz="4" w:space="0"/>
              <w:right w:val="single" w:color="000000" w:sz="4" w:space="0"/>
            </w:tcBorders>
            <w:shd w:val="clear" w:color="000000" w:fill="D9E2F3"/>
            <w:tcMar>
              <w:top w:w="80" w:type="dxa"/>
              <w:left w:w="120" w:type="dxa"/>
              <w:bottom w:w="80" w:type="dxa"/>
              <w:right w:w="120" w:type="dxa"/>
            </w:tcMar>
            <w:vAlign w:val="center"/>
          </w:tcPr>
          <w:p w14:paraId="345B8BB7">
            <w:pPr>
              <w:jc w:val="center"/>
            </w:pPr>
            <w:r>
              <w:rPr>
                <w:rFonts w:ascii="宋体" w:hAnsi="宋体" w:eastAsia="宋体" w:cs="宋体"/>
                <w:b/>
                <w:bCs/>
                <w:sz w:val="24"/>
                <w:szCs w:val="24"/>
              </w:rPr>
              <w:t>S1</w:t>
            </w:r>
          </w:p>
        </w:tc>
        <w:tc>
          <w:tcPr>
            <w:tcW w:w="76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vAlign w:val="center"/>
          </w:tcPr>
          <w:p w14:paraId="59CBF11B">
            <w:r>
              <w:rPr>
                <w:rFonts w:ascii="宋体" w:hAnsi="宋体" w:eastAsia="宋体" w:cs="宋体"/>
                <w:sz w:val="24"/>
                <w:szCs w:val="24"/>
              </w:rPr>
              <w:t>能够熟练进行OpenStack中的认证服务运维</w:t>
            </w:r>
          </w:p>
        </w:tc>
      </w:tr>
      <w:tr w14:paraId="2C040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400" w:type="dxa"/>
            <w:tcBorders>
              <w:top w:val="single" w:color="000000" w:sz="4" w:space="0"/>
              <w:left w:val="single" w:color="000000" w:sz="4" w:space="0"/>
              <w:bottom w:val="single" w:color="000000" w:sz="4" w:space="0"/>
              <w:right w:val="single" w:color="000000" w:sz="4" w:space="0"/>
            </w:tcBorders>
            <w:shd w:val="clear" w:color="000000" w:fill="D9E2F3"/>
            <w:tcMar>
              <w:top w:w="80" w:type="dxa"/>
              <w:left w:w="120" w:type="dxa"/>
              <w:bottom w:w="80" w:type="dxa"/>
              <w:right w:w="120" w:type="dxa"/>
            </w:tcMar>
            <w:vAlign w:val="center"/>
          </w:tcPr>
          <w:p w14:paraId="74ECF573">
            <w:pPr>
              <w:jc w:val="center"/>
            </w:pPr>
            <w:r>
              <w:rPr>
                <w:rFonts w:ascii="宋体" w:hAnsi="宋体" w:eastAsia="宋体" w:cs="宋体"/>
                <w:b/>
                <w:bCs/>
                <w:sz w:val="24"/>
                <w:szCs w:val="24"/>
              </w:rPr>
              <w:t>S2</w:t>
            </w:r>
          </w:p>
        </w:tc>
        <w:tc>
          <w:tcPr>
            <w:tcW w:w="76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vAlign w:val="center"/>
          </w:tcPr>
          <w:p w14:paraId="68D0BE63">
            <w:r>
              <w:rPr>
                <w:rFonts w:ascii="宋体" w:hAnsi="宋体" w:eastAsia="宋体" w:cs="宋体"/>
                <w:sz w:val="24"/>
                <w:szCs w:val="24"/>
              </w:rPr>
              <w:t>能够熟念进行OpenStack中的镜像服务运维</w:t>
            </w:r>
          </w:p>
        </w:tc>
      </w:tr>
      <w:tr w14:paraId="59F85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400" w:type="dxa"/>
            <w:tcBorders>
              <w:top w:val="single" w:color="000000" w:sz="4" w:space="0"/>
              <w:left w:val="single" w:color="000000" w:sz="4" w:space="0"/>
              <w:bottom w:val="single" w:color="000000" w:sz="4" w:space="0"/>
              <w:right w:val="single" w:color="000000" w:sz="4" w:space="0"/>
            </w:tcBorders>
            <w:shd w:val="clear" w:color="000000" w:fill="D9E2F3"/>
            <w:tcMar>
              <w:top w:w="80" w:type="dxa"/>
              <w:left w:w="120" w:type="dxa"/>
              <w:bottom w:w="80" w:type="dxa"/>
              <w:right w:w="120" w:type="dxa"/>
            </w:tcMar>
            <w:vAlign w:val="center"/>
          </w:tcPr>
          <w:p w14:paraId="445D3680">
            <w:pPr>
              <w:jc w:val="center"/>
            </w:pPr>
            <w:r>
              <w:rPr>
                <w:rFonts w:ascii="宋体" w:hAnsi="宋体" w:eastAsia="宋体" w:cs="宋体"/>
                <w:b/>
                <w:bCs/>
                <w:sz w:val="24"/>
                <w:szCs w:val="24"/>
              </w:rPr>
              <w:t>S3</w:t>
            </w:r>
          </w:p>
        </w:tc>
        <w:tc>
          <w:tcPr>
            <w:tcW w:w="76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vAlign w:val="center"/>
          </w:tcPr>
          <w:p w14:paraId="37BC9B7D">
            <w:r>
              <w:rPr>
                <w:rFonts w:ascii="宋体" w:hAnsi="宋体" w:eastAsia="宋体" w:cs="宋体"/>
                <w:sz w:val="24"/>
                <w:szCs w:val="24"/>
              </w:rPr>
              <w:t>能够熟念进行OpenStack中的网络服务运维</w:t>
            </w:r>
          </w:p>
        </w:tc>
      </w:tr>
      <w:tr w14:paraId="3EFF2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400" w:type="dxa"/>
            <w:tcBorders>
              <w:top w:val="single" w:color="000000" w:sz="4" w:space="0"/>
              <w:left w:val="single" w:color="000000" w:sz="4" w:space="0"/>
              <w:bottom w:val="single" w:color="000000" w:sz="4" w:space="0"/>
              <w:right w:val="single" w:color="000000" w:sz="4" w:space="0"/>
            </w:tcBorders>
            <w:shd w:val="clear" w:color="000000" w:fill="D9E2F3"/>
            <w:tcMar>
              <w:top w:w="80" w:type="dxa"/>
              <w:left w:w="120" w:type="dxa"/>
              <w:bottom w:w="80" w:type="dxa"/>
              <w:right w:w="120" w:type="dxa"/>
            </w:tcMar>
            <w:vAlign w:val="center"/>
          </w:tcPr>
          <w:p w14:paraId="6E260F61">
            <w:pPr>
              <w:jc w:val="center"/>
            </w:pPr>
            <w:r>
              <w:rPr>
                <w:rFonts w:ascii="宋体" w:hAnsi="宋体" w:eastAsia="宋体" w:cs="宋体"/>
                <w:b/>
                <w:bCs/>
                <w:sz w:val="24"/>
                <w:szCs w:val="24"/>
              </w:rPr>
              <w:t>S4</w:t>
            </w:r>
          </w:p>
        </w:tc>
        <w:tc>
          <w:tcPr>
            <w:tcW w:w="76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vAlign w:val="center"/>
          </w:tcPr>
          <w:p w14:paraId="48A54C42">
            <w:r>
              <w:rPr>
                <w:rFonts w:ascii="宋体" w:hAnsi="宋体" w:eastAsia="宋体" w:cs="宋体"/>
                <w:sz w:val="24"/>
                <w:szCs w:val="24"/>
              </w:rPr>
              <w:t>能够熟练进行OpenStack中的计算服务运维</w:t>
            </w:r>
          </w:p>
        </w:tc>
      </w:tr>
      <w:tr w14:paraId="0D856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400" w:type="dxa"/>
            <w:tcBorders>
              <w:top w:val="single" w:color="000000" w:sz="4" w:space="0"/>
              <w:left w:val="single" w:color="000000" w:sz="4" w:space="0"/>
              <w:bottom w:val="single" w:color="000000" w:sz="4" w:space="0"/>
              <w:right w:val="single" w:color="000000" w:sz="4" w:space="0"/>
            </w:tcBorders>
            <w:shd w:val="clear" w:color="000000" w:fill="D9E2F3"/>
            <w:tcMar>
              <w:top w:w="80" w:type="dxa"/>
              <w:left w:w="120" w:type="dxa"/>
              <w:bottom w:w="80" w:type="dxa"/>
              <w:right w:w="120" w:type="dxa"/>
            </w:tcMar>
            <w:vAlign w:val="center"/>
          </w:tcPr>
          <w:p w14:paraId="2FEC5B91">
            <w:pPr>
              <w:jc w:val="center"/>
            </w:pPr>
            <w:r>
              <w:rPr>
                <w:rFonts w:ascii="宋体" w:hAnsi="宋体" w:eastAsia="宋体" w:cs="宋体"/>
                <w:b/>
                <w:bCs/>
                <w:sz w:val="24"/>
                <w:szCs w:val="24"/>
              </w:rPr>
              <w:t>S5</w:t>
            </w:r>
          </w:p>
        </w:tc>
        <w:tc>
          <w:tcPr>
            <w:tcW w:w="76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vAlign w:val="center"/>
          </w:tcPr>
          <w:p w14:paraId="3E9D80E8">
            <w:r>
              <w:rPr>
                <w:rFonts w:ascii="宋体" w:hAnsi="宋体" w:eastAsia="宋体" w:cs="宋体"/>
                <w:sz w:val="24"/>
                <w:szCs w:val="24"/>
              </w:rPr>
              <w:t>能够熟练进行OpenStack中的存储服务运维</w:t>
            </w:r>
          </w:p>
        </w:tc>
      </w:tr>
      <w:tr w14:paraId="4B60C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400" w:type="dxa"/>
            <w:tcBorders>
              <w:top w:val="single" w:color="000000" w:sz="4" w:space="0"/>
              <w:left w:val="single" w:color="000000" w:sz="4" w:space="0"/>
              <w:bottom w:val="single" w:color="000000" w:sz="4" w:space="0"/>
              <w:right w:val="single" w:color="000000" w:sz="4" w:space="0"/>
            </w:tcBorders>
            <w:shd w:val="clear" w:color="000000" w:fill="2E75B6"/>
            <w:tcMar>
              <w:top w:w="80" w:type="dxa"/>
              <w:left w:w="120" w:type="dxa"/>
              <w:bottom w:w="80" w:type="dxa"/>
              <w:right w:w="120" w:type="dxa"/>
            </w:tcMar>
            <w:vAlign w:val="center"/>
          </w:tcPr>
          <w:p w14:paraId="750925C6">
            <w:pPr>
              <w:jc w:val="center"/>
            </w:pPr>
            <w:r>
              <w:rPr>
                <w:rFonts w:ascii="宋体" w:hAnsi="宋体" w:eastAsia="宋体" w:cs="宋体"/>
                <w:b/>
                <w:bCs/>
                <w:color w:val="FFFFFF"/>
                <w:sz w:val="24"/>
                <w:szCs w:val="24"/>
              </w:rPr>
              <w:t>序号</w:t>
            </w:r>
          </w:p>
        </w:tc>
        <w:tc>
          <w:tcPr>
            <w:tcW w:w="7600" w:type="dxa"/>
            <w:tcBorders>
              <w:top w:val="single" w:color="000000" w:sz="4" w:space="0"/>
              <w:left w:val="single" w:color="000000" w:sz="4" w:space="0"/>
              <w:bottom w:val="single" w:color="000000" w:sz="4" w:space="0"/>
              <w:right w:val="single" w:color="000000" w:sz="4" w:space="0"/>
            </w:tcBorders>
            <w:shd w:val="clear" w:color="000000" w:fill="2E75B6"/>
            <w:tcMar>
              <w:top w:w="80" w:type="dxa"/>
              <w:left w:w="120" w:type="dxa"/>
              <w:bottom w:w="80" w:type="dxa"/>
              <w:right w:w="120" w:type="dxa"/>
            </w:tcMar>
            <w:vAlign w:val="center"/>
          </w:tcPr>
          <w:p w14:paraId="60843FFC">
            <w:pPr>
              <w:jc w:val="center"/>
            </w:pPr>
            <w:r>
              <w:rPr>
                <w:rFonts w:ascii="宋体" w:hAnsi="宋体" w:eastAsia="宋体" w:cs="宋体"/>
                <w:b/>
                <w:bCs/>
                <w:color w:val="FFFFFF"/>
                <w:sz w:val="24"/>
                <w:szCs w:val="24"/>
              </w:rPr>
              <w:t>态度目标</w:t>
            </w:r>
          </w:p>
        </w:tc>
      </w:tr>
      <w:tr w14:paraId="4957A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400" w:type="dxa"/>
            <w:tcBorders>
              <w:top w:val="single" w:color="000000" w:sz="4" w:space="0"/>
              <w:left w:val="single" w:color="000000" w:sz="4" w:space="0"/>
              <w:bottom w:val="single" w:color="000000" w:sz="4" w:space="0"/>
              <w:right w:val="single" w:color="000000" w:sz="4" w:space="0"/>
            </w:tcBorders>
            <w:shd w:val="clear" w:color="000000" w:fill="D9E2F3"/>
            <w:tcMar>
              <w:top w:w="80" w:type="dxa"/>
              <w:left w:w="120" w:type="dxa"/>
              <w:bottom w:w="80" w:type="dxa"/>
              <w:right w:w="120" w:type="dxa"/>
            </w:tcMar>
            <w:vAlign w:val="center"/>
          </w:tcPr>
          <w:p w14:paraId="2F6525AE">
            <w:pPr>
              <w:jc w:val="center"/>
            </w:pPr>
            <w:r>
              <w:rPr>
                <w:rFonts w:ascii="宋体" w:hAnsi="宋体" w:eastAsia="宋体" w:cs="宋体"/>
                <w:b/>
                <w:bCs/>
                <w:sz w:val="24"/>
                <w:szCs w:val="24"/>
              </w:rPr>
              <w:t>A1</w:t>
            </w:r>
          </w:p>
        </w:tc>
        <w:tc>
          <w:tcPr>
            <w:tcW w:w="76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vAlign w:val="center"/>
          </w:tcPr>
          <w:p w14:paraId="6236614D">
            <w:r>
              <w:rPr>
                <w:rFonts w:ascii="宋体" w:hAnsi="宋体" w:eastAsia="宋体" w:cs="宋体"/>
                <w:sz w:val="24"/>
                <w:szCs w:val="24"/>
              </w:rPr>
              <w:t>能理论结合实践，培养良好的动手能力</w:t>
            </w:r>
          </w:p>
        </w:tc>
      </w:tr>
      <w:tr w14:paraId="531D3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400" w:type="dxa"/>
            <w:tcBorders>
              <w:top w:val="single" w:color="000000" w:sz="4" w:space="0"/>
              <w:left w:val="single" w:color="000000" w:sz="4" w:space="0"/>
              <w:bottom w:val="single" w:color="000000" w:sz="4" w:space="0"/>
              <w:right w:val="single" w:color="000000" w:sz="4" w:space="0"/>
            </w:tcBorders>
            <w:shd w:val="clear" w:color="000000" w:fill="D9E2F3"/>
            <w:tcMar>
              <w:top w:w="80" w:type="dxa"/>
              <w:left w:w="120" w:type="dxa"/>
              <w:bottom w:w="80" w:type="dxa"/>
              <w:right w:w="120" w:type="dxa"/>
            </w:tcMar>
            <w:vAlign w:val="center"/>
          </w:tcPr>
          <w:p w14:paraId="68CB7480">
            <w:pPr>
              <w:jc w:val="center"/>
            </w:pPr>
            <w:r>
              <w:rPr>
                <w:rFonts w:ascii="宋体" w:hAnsi="宋体" w:eastAsia="宋体" w:cs="宋体"/>
                <w:b/>
                <w:bCs/>
                <w:sz w:val="24"/>
                <w:szCs w:val="24"/>
              </w:rPr>
              <w:t>A2</w:t>
            </w:r>
          </w:p>
        </w:tc>
        <w:tc>
          <w:tcPr>
            <w:tcW w:w="76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vAlign w:val="center"/>
          </w:tcPr>
          <w:p w14:paraId="68B015AE">
            <w:r>
              <w:rPr>
                <w:rFonts w:ascii="宋体" w:hAnsi="宋体" w:eastAsia="宋体" w:cs="宋体"/>
                <w:sz w:val="24"/>
                <w:szCs w:val="24"/>
              </w:rPr>
              <w:t>具备爱岗敬业、吃苦耐劳的良好职业道德</w:t>
            </w:r>
          </w:p>
        </w:tc>
      </w:tr>
      <w:tr w14:paraId="5C435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400" w:type="dxa"/>
            <w:tcBorders>
              <w:top w:val="single" w:color="000000" w:sz="4" w:space="0"/>
              <w:left w:val="single" w:color="000000" w:sz="4" w:space="0"/>
              <w:bottom w:val="single" w:color="000000" w:sz="4" w:space="0"/>
              <w:right w:val="single" w:color="000000" w:sz="4" w:space="0"/>
            </w:tcBorders>
            <w:shd w:val="clear" w:color="000000" w:fill="D9E2F3"/>
            <w:tcMar>
              <w:top w:w="80" w:type="dxa"/>
              <w:left w:w="120" w:type="dxa"/>
              <w:bottom w:w="80" w:type="dxa"/>
              <w:right w:w="120" w:type="dxa"/>
            </w:tcMar>
            <w:vAlign w:val="center"/>
          </w:tcPr>
          <w:p w14:paraId="2AB38854">
            <w:pPr>
              <w:jc w:val="center"/>
            </w:pPr>
            <w:r>
              <w:rPr>
                <w:rFonts w:ascii="宋体" w:hAnsi="宋体" w:eastAsia="宋体" w:cs="宋体"/>
                <w:b/>
                <w:bCs/>
                <w:sz w:val="24"/>
                <w:szCs w:val="24"/>
              </w:rPr>
              <w:t>A3</w:t>
            </w:r>
          </w:p>
        </w:tc>
        <w:tc>
          <w:tcPr>
            <w:tcW w:w="76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vAlign w:val="center"/>
          </w:tcPr>
          <w:p w14:paraId="375F24B2">
            <w:r>
              <w:rPr>
                <w:rFonts w:ascii="宋体" w:hAnsi="宋体" w:eastAsia="宋体" w:cs="宋体"/>
                <w:sz w:val="24"/>
                <w:szCs w:val="24"/>
              </w:rPr>
              <w:t>具有团队意识，能协作完成任务</w:t>
            </w:r>
          </w:p>
        </w:tc>
      </w:tr>
      <w:tr w14:paraId="33842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400" w:type="dxa"/>
            <w:tcBorders>
              <w:top w:val="single" w:color="000000" w:sz="4" w:space="0"/>
              <w:left w:val="single" w:color="000000" w:sz="4" w:space="0"/>
              <w:bottom w:val="single" w:color="000000" w:sz="4" w:space="0"/>
              <w:right w:val="single" w:color="000000" w:sz="4" w:space="0"/>
            </w:tcBorders>
            <w:shd w:val="clear" w:color="000000" w:fill="D9E2F3"/>
            <w:tcMar>
              <w:top w:w="80" w:type="dxa"/>
              <w:left w:w="120" w:type="dxa"/>
              <w:bottom w:w="80" w:type="dxa"/>
              <w:right w:w="120" w:type="dxa"/>
            </w:tcMar>
            <w:vAlign w:val="center"/>
          </w:tcPr>
          <w:p w14:paraId="39969B6E">
            <w:pPr>
              <w:jc w:val="center"/>
            </w:pPr>
            <w:r>
              <w:rPr>
                <w:rFonts w:ascii="宋体" w:hAnsi="宋体" w:eastAsia="宋体" w:cs="宋体"/>
                <w:b/>
                <w:bCs/>
                <w:sz w:val="24"/>
                <w:szCs w:val="24"/>
              </w:rPr>
              <w:t>A4</w:t>
            </w:r>
          </w:p>
        </w:tc>
        <w:tc>
          <w:tcPr>
            <w:tcW w:w="76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vAlign w:val="center"/>
          </w:tcPr>
          <w:p w14:paraId="465DF771">
            <w:r>
              <w:rPr>
                <w:rFonts w:ascii="宋体" w:hAnsi="宋体" w:eastAsia="宋体" w:cs="宋体"/>
                <w:sz w:val="24"/>
                <w:szCs w:val="24"/>
              </w:rPr>
              <w:t>具有自主学习能力和自我提高能力</w:t>
            </w:r>
          </w:p>
        </w:tc>
      </w:tr>
      <w:tr w14:paraId="3DDA3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400" w:type="dxa"/>
            <w:tcBorders>
              <w:top w:val="single" w:color="000000" w:sz="4" w:space="0"/>
              <w:left w:val="single" w:color="000000" w:sz="4" w:space="0"/>
              <w:bottom w:val="single" w:color="000000" w:sz="4" w:space="0"/>
              <w:right w:val="single" w:color="000000" w:sz="4" w:space="0"/>
            </w:tcBorders>
            <w:shd w:val="clear" w:color="000000" w:fill="D9E2F3"/>
            <w:tcMar>
              <w:top w:w="80" w:type="dxa"/>
              <w:left w:w="120" w:type="dxa"/>
              <w:bottom w:w="80" w:type="dxa"/>
              <w:right w:w="120" w:type="dxa"/>
            </w:tcMar>
            <w:vAlign w:val="center"/>
          </w:tcPr>
          <w:p w14:paraId="405C8446">
            <w:pPr>
              <w:jc w:val="center"/>
            </w:pPr>
            <w:r>
              <w:rPr>
                <w:rFonts w:ascii="宋体" w:hAnsi="宋体" w:eastAsia="宋体" w:cs="宋体"/>
                <w:b/>
                <w:bCs/>
                <w:sz w:val="24"/>
                <w:szCs w:val="24"/>
              </w:rPr>
              <w:t>A5</w:t>
            </w:r>
          </w:p>
        </w:tc>
        <w:tc>
          <w:tcPr>
            <w:tcW w:w="76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vAlign w:val="center"/>
          </w:tcPr>
          <w:p w14:paraId="4BDA683D">
            <w:r>
              <w:rPr>
                <w:rFonts w:ascii="宋体" w:hAnsi="宋体" w:eastAsia="宋体" w:cs="宋体"/>
                <w:sz w:val="24"/>
                <w:szCs w:val="24"/>
              </w:rPr>
              <w:t>具有分析问题和解决问题的能力</w:t>
            </w:r>
          </w:p>
        </w:tc>
      </w:tr>
    </w:tbl>
    <w:p w14:paraId="2673C73B">
      <w:pPr>
        <w:pBdr>
          <w:bottom w:val="single" w:color="2E75B6" w:sz="8" w:space="6"/>
        </w:pBdr>
        <w:spacing w:before="480" w:after="240"/>
      </w:pPr>
      <w:r>
        <w:rPr>
          <w:rFonts w:ascii="宋体" w:hAnsi="宋体" w:eastAsia="宋体" w:cs="宋体"/>
          <w:b/>
          <w:bCs/>
          <w:color w:val="1F3864"/>
          <w:sz w:val="36"/>
          <w:szCs w:val="36"/>
        </w:rPr>
        <w:t>四、课程内容</w:t>
      </w:r>
    </w:p>
    <w:tbl>
      <w:tblPr>
        <w:tblStyle w:val="11"/>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900"/>
        <w:gridCol w:w="7200"/>
        <w:gridCol w:w="900"/>
      </w:tblGrid>
      <w:tr w14:paraId="05141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gridSpan w:val="3"/>
            <w:tcBorders>
              <w:top w:val="single" w:color="000000" w:sz="4" w:space="0"/>
              <w:left w:val="single" w:color="000000" w:sz="4" w:space="0"/>
              <w:bottom w:val="single" w:color="000000" w:sz="4" w:space="0"/>
              <w:right w:val="single" w:color="000000" w:sz="4" w:space="0"/>
            </w:tcBorders>
            <w:shd w:val="clear" w:color="000000" w:fill="2E75B6"/>
            <w:tcMar>
              <w:top w:w="120" w:type="dxa"/>
              <w:left w:w="120" w:type="dxa"/>
              <w:bottom w:w="120" w:type="dxa"/>
              <w:right w:w="120" w:type="dxa"/>
            </w:tcMar>
            <w:vAlign w:val="center"/>
          </w:tcPr>
          <w:p w14:paraId="32337C27">
            <w:pPr>
              <w:spacing w:before="0" w:after="0"/>
              <w:jc w:val="center"/>
            </w:pPr>
            <w:r>
              <w:rPr>
                <w:rFonts w:ascii="宋体" w:hAnsi="宋体" w:eastAsia="宋体" w:cs="宋体"/>
                <w:b/>
                <w:bCs/>
                <w:color w:val="FFFFFF"/>
                <w:sz w:val="30"/>
                <w:szCs w:val="30"/>
              </w:rPr>
              <w:t>课程内容</w:t>
            </w:r>
          </w:p>
        </w:tc>
      </w:tr>
      <w:tr w14:paraId="663EB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900" w:type="dxa"/>
            <w:tcBorders>
              <w:top w:val="single" w:color="000000" w:sz="4" w:space="0"/>
              <w:left w:val="single" w:color="000000" w:sz="4" w:space="0"/>
              <w:bottom w:val="single" w:color="000000" w:sz="4" w:space="0"/>
              <w:right w:val="single" w:color="000000" w:sz="4" w:space="0"/>
            </w:tcBorders>
            <w:shd w:val="clear" w:color="000000" w:fill="D9E2F3"/>
            <w:tcMar>
              <w:top w:w="80" w:type="dxa"/>
              <w:left w:w="120" w:type="dxa"/>
              <w:bottom w:w="80" w:type="dxa"/>
              <w:right w:w="120" w:type="dxa"/>
            </w:tcMar>
            <w:vAlign w:val="center"/>
          </w:tcPr>
          <w:p w14:paraId="09D3B225">
            <w:pPr>
              <w:jc w:val="center"/>
            </w:pPr>
            <w:r>
              <w:rPr>
                <w:rFonts w:ascii="宋体" w:hAnsi="宋体" w:eastAsia="宋体" w:cs="宋体"/>
                <w:b/>
                <w:bCs/>
                <w:sz w:val="24"/>
                <w:szCs w:val="24"/>
              </w:rPr>
              <w:t>序号</w:t>
            </w:r>
          </w:p>
        </w:tc>
        <w:tc>
          <w:tcPr>
            <w:tcW w:w="7200" w:type="dxa"/>
            <w:tcBorders>
              <w:top w:val="single" w:color="000000" w:sz="4" w:space="0"/>
              <w:left w:val="single" w:color="000000" w:sz="4" w:space="0"/>
              <w:bottom w:val="single" w:color="000000" w:sz="4" w:space="0"/>
              <w:right w:val="single" w:color="000000" w:sz="4" w:space="0"/>
            </w:tcBorders>
            <w:shd w:val="clear" w:color="000000" w:fill="D9E2F3"/>
            <w:tcMar>
              <w:top w:w="80" w:type="dxa"/>
              <w:left w:w="120" w:type="dxa"/>
              <w:bottom w:w="80" w:type="dxa"/>
              <w:right w:w="120" w:type="dxa"/>
            </w:tcMar>
            <w:vAlign w:val="center"/>
          </w:tcPr>
          <w:p w14:paraId="2167F324">
            <w:pPr>
              <w:jc w:val="center"/>
            </w:pPr>
            <w:r>
              <w:rPr>
                <w:rFonts w:ascii="宋体" w:hAnsi="宋体" w:eastAsia="宋体" w:cs="宋体"/>
                <w:b/>
                <w:bCs/>
                <w:sz w:val="24"/>
                <w:szCs w:val="24"/>
              </w:rPr>
              <w:t>内容</w:t>
            </w:r>
          </w:p>
        </w:tc>
        <w:tc>
          <w:tcPr>
            <w:tcW w:w="900" w:type="dxa"/>
            <w:tcBorders>
              <w:top w:val="single" w:color="000000" w:sz="4" w:space="0"/>
              <w:left w:val="single" w:color="000000" w:sz="4" w:space="0"/>
              <w:bottom w:val="single" w:color="000000" w:sz="4" w:space="0"/>
              <w:right w:val="single" w:color="000000" w:sz="4" w:space="0"/>
            </w:tcBorders>
            <w:shd w:val="clear" w:color="000000" w:fill="D9E2F3"/>
            <w:tcMar>
              <w:top w:w="80" w:type="dxa"/>
              <w:left w:w="120" w:type="dxa"/>
              <w:bottom w:w="80" w:type="dxa"/>
              <w:right w:w="120" w:type="dxa"/>
            </w:tcMar>
            <w:vAlign w:val="center"/>
          </w:tcPr>
          <w:p w14:paraId="49F59789">
            <w:pPr>
              <w:jc w:val="center"/>
            </w:pPr>
            <w:r>
              <w:rPr>
                <w:rFonts w:ascii="宋体" w:hAnsi="宋体" w:eastAsia="宋体" w:cs="宋体"/>
                <w:b/>
                <w:bCs/>
                <w:sz w:val="24"/>
                <w:szCs w:val="24"/>
              </w:rPr>
              <w:t>学时</w:t>
            </w:r>
          </w:p>
        </w:tc>
      </w:tr>
      <w:tr w14:paraId="5FBB8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9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vAlign w:val="center"/>
          </w:tcPr>
          <w:p w14:paraId="09F71F87">
            <w:pPr>
              <w:jc w:val="center"/>
            </w:pPr>
            <w:r>
              <w:rPr>
                <w:rFonts w:ascii="宋体" w:hAnsi="宋体" w:eastAsia="宋体" w:cs="宋体"/>
                <w:sz w:val="24"/>
                <w:szCs w:val="24"/>
              </w:rPr>
              <w:t>T1</w:t>
            </w:r>
          </w:p>
        </w:tc>
        <w:tc>
          <w:tcPr>
            <w:tcW w:w="72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vAlign w:val="center"/>
          </w:tcPr>
          <w:p w14:paraId="3486E440">
            <w:r>
              <w:rPr>
                <w:rFonts w:ascii="宋体" w:hAnsi="宋体" w:eastAsia="宋体" w:cs="宋体"/>
                <w:sz w:val="24"/>
                <w:szCs w:val="24"/>
              </w:rPr>
              <w:t>认识云计算</w:t>
            </w:r>
          </w:p>
        </w:tc>
        <w:tc>
          <w:tcPr>
            <w:tcW w:w="9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vAlign w:val="center"/>
          </w:tcPr>
          <w:p w14:paraId="1FF4707D">
            <w:pPr>
              <w:jc w:val="center"/>
            </w:pPr>
            <w:r>
              <w:rPr>
                <w:rFonts w:ascii="宋体" w:hAnsi="宋体" w:eastAsia="宋体" w:cs="宋体"/>
                <w:sz w:val="24"/>
                <w:szCs w:val="24"/>
              </w:rPr>
              <w:t>4</w:t>
            </w:r>
          </w:p>
        </w:tc>
      </w:tr>
      <w:tr w14:paraId="74CC6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9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vAlign w:val="center"/>
          </w:tcPr>
          <w:p w14:paraId="32220254">
            <w:pPr>
              <w:jc w:val="center"/>
            </w:pPr>
            <w:r>
              <w:rPr>
                <w:rFonts w:ascii="宋体" w:hAnsi="宋体" w:eastAsia="宋体" w:cs="宋体"/>
                <w:sz w:val="24"/>
                <w:szCs w:val="24"/>
              </w:rPr>
              <w:t>T2</w:t>
            </w:r>
          </w:p>
        </w:tc>
        <w:tc>
          <w:tcPr>
            <w:tcW w:w="72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vAlign w:val="center"/>
          </w:tcPr>
          <w:p w14:paraId="4D36206E">
            <w:r>
              <w:rPr>
                <w:rFonts w:ascii="宋体" w:hAnsi="宋体" w:eastAsia="宋体" w:cs="宋体"/>
                <w:sz w:val="24"/>
                <w:szCs w:val="24"/>
              </w:rPr>
              <w:t>OpenStack中的认证服务运维</w:t>
            </w:r>
          </w:p>
        </w:tc>
        <w:tc>
          <w:tcPr>
            <w:tcW w:w="9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vAlign w:val="center"/>
          </w:tcPr>
          <w:p w14:paraId="618978FD">
            <w:pPr>
              <w:jc w:val="center"/>
            </w:pPr>
            <w:r>
              <w:rPr>
                <w:rFonts w:ascii="宋体" w:hAnsi="宋体" w:eastAsia="宋体" w:cs="宋体"/>
                <w:sz w:val="24"/>
                <w:szCs w:val="24"/>
              </w:rPr>
              <w:t>12</w:t>
            </w:r>
          </w:p>
        </w:tc>
      </w:tr>
      <w:tr w14:paraId="289E5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9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vAlign w:val="center"/>
          </w:tcPr>
          <w:p w14:paraId="4D5962F3">
            <w:pPr>
              <w:jc w:val="center"/>
            </w:pPr>
            <w:r>
              <w:rPr>
                <w:rFonts w:ascii="宋体" w:hAnsi="宋体" w:eastAsia="宋体" w:cs="宋体"/>
                <w:sz w:val="24"/>
                <w:szCs w:val="24"/>
              </w:rPr>
              <w:t>T3</w:t>
            </w:r>
          </w:p>
        </w:tc>
        <w:tc>
          <w:tcPr>
            <w:tcW w:w="72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vAlign w:val="center"/>
          </w:tcPr>
          <w:p w14:paraId="2CD70ACF">
            <w:r>
              <w:rPr>
                <w:rFonts w:ascii="宋体" w:hAnsi="宋体" w:eastAsia="宋体" w:cs="宋体"/>
                <w:sz w:val="24"/>
                <w:szCs w:val="24"/>
              </w:rPr>
              <w:t>OpenStack中的镜像服务运维</w:t>
            </w:r>
          </w:p>
        </w:tc>
        <w:tc>
          <w:tcPr>
            <w:tcW w:w="9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vAlign w:val="center"/>
          </w:tcPr>
          <w:p w14:paraId="3347850F">
            <w:pPr>
              <w:jc w:val="center"/>
            </w:pPr>
            <w:r>
              <w:rPr>
                <w:rFonts w:ascii="宋体" w:hAnsi="宋体" w:eastAsia="宋体" w:cs="宋体"/>
                <w:sz w:val="24"/>
                <w:szCs w:val="24"/>
              </w:rPr>
              <w:t>12</w:t>
            </w:r>
          </w:p>
        </w:tc>
      </w:tr>
      <w:tr w14:paraId="299D3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9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vAlign w:val="center"/>
          </w:tcPr>
          <w:p w14:paraId="1E38B1E4">
            <w:pPr>
              <w:jc w:val="center"/>
            </w:pPr>
            <w:r>
              <w:rPr>
                <w:rFonts w:ascii="宋体" w:hAnsi="宋体" w:eastAsia="宋体" w:cs="宋体"/>
                <w:sz w:val="24"/>
                <w:szCs w:val="24"/>
              </w:rPr>
              <w:t>T4</w:t>
            </w:r>
          </w:p>
        </w:tc>
        <w:tc>
          <w:tcPr>
            <w:tcW w:w="72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vAlign w:val="center"/>
          </w:tcPr>
          <w:p w14:paraId="2E0325D9">
            <w:r>
              <w:rPr>
                <w:rFonts w:ascii="宋体" w:hAnsi="宋体" w:eastAsia="宋体" w:cs="宋体"/>
                <w:sz w:val="24"/>
                <w:szCs w:val="24"/>
              </w:rPr>
              <w:t>OpenStack中的网络服务运维</w:t>
            </w:r>
          </w:p>
        </w:tc>
        <w:tc>
          <w:tcPr>
            <w:tcW w:w="9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vAlign w:val="center"/>
          </w:tcPr>
          <w:p w14:paraId="4A893E41">
            <w:pPr>
              <w:jc w:val="center"/>
            </w:pPr>
            <w:r>
              <w:rPr>
                <w:rFonts w:ascii="宋体" w:hAnsi="宋体" w:eastAsia="宋体" w:cs="宋体"/>
                <w:sz w:val="24"/>
                <w:szCs w:val="24"/>
              </w:rPr>
              <w:t>12</w:t>
            </w:r>
          </w:p>
        </w:tc>
      </w:tr>
      <w:tr w14:paraId="3C8D9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9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vAlign w:val="center"/>
          </w:tcPr>
          <w:p w14:paraId="5D1E236F">
            <w:pPr>
              <w:jc w:val="center"/>
            </w:pPr>
            <w:r>
              <w:rPr>
                <w:rFonts w:ascii="宋体" w:hAnsi="宋体" w:eastAsia="宋体" w:cs="宋体"/>
                <w:sz w:val="24"/>
                <w:szCs w:val="24"/>
              </w:rPr>
              <w:t>T5</w:t>
            </w:r>
          </w:p>
        </w:tc>
        <w:tc>
          <w:tcPr>
            <w:tcW w:w="72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vAlign w:val="center"/>
          </w:tcPr>
          <w:p w14:paraId="789DB00F">
            <w:r>
              <w:rPr>
                <w:rFonts w:ascii="宋体" w:hAnsi="宋体" w:eastAsia="宋体" w:cs="宋体"/>
                <w:sz w:val="24"/>
                <w:szCs w:val="24"/>
              </w:rPr>
              <w:t>OpenStack中的计算服务运维</w:t>
            </w:r>
          </w:p>
        </w:tc>
        <w:tc>
          <w:tcPr>
            <w:tcW w:w="9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vAlign w:val="center"/>
          </w:tcPr>
          <w:p w14:paraId="659C495D">
            <w:pPr>
              <w:jc w:val="center"/>
            </w:pPr>
            <w:r>
              <w:rPr>
                <w:rFonts w:ascii="宋体" w:hAnsi="宋体" w:eastAsia="宋体" w:cs="宋体"/>
                <w:sz w:val="24"/>
                <w:szCs w:val="24"/>
              </w:rPr>
              <w:t>12</w:t>
            </w:r>
          </w:p>
        </w:tc>
      </w:tr>
      <w:tr w14:paraId="68E01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9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vAlign w:val="center"/>
          </w:tcPr>
          <w:p w14:paraId="7110B8BD">
            <w:pPr>
              <w:jc w:val="center"/>
            </w:pPr>
            <w:r>
              <w:rPr>
                <w:rFonts w:ascii="宋体" w:hAnsi="宋体" w:eastAsia="宋体" w:cs="宋体"/>
                <w:sz w:val="24"/>
                <w:szCs w:val="24"/>
              </w:rPr>
              <w:t>T6</w:t>
            </w:r>
          </w:p>
        </w:tc>
        <w:tc>
          <w:tcPr>
            <w:tcW w:w="72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vAlign w:val="center"/>
          </w:tcPr>
          <w:p w14:paraId="675E41D8">
            <w:r>
              <w:rPr>
                <w:rFonts w:ascii="宋体" w:hAnsi="宋体" w:eastAsia="宋体" w:cs="宋体"/>
                <w:sz w:val="24"/>
                <w:szCs w:val="24"/>
              </w:rPr>
              <w:t>OpenStack中的存储服务运维</w:t>
            </w:r>
          </w:p>
        </w:tc>
        <w:tc>
          <w:tcPr>
            <w:tcW w:w="9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vAlign w:val="center"/>
          </w:tcPr>
          <w:p w14:paraId="4C5FD467">
            <w:pPr>
              <w:jc w:val="center"/>
            </w:pPr>
            <w:r>
              <w:rPr>
                <w:rFonts w:ascii="宋体" w:hAnsi="宋体" w:eastAsia="宋体" w:cs="宋体"/>
                <w:sz w:val="24"/>
                <w:szCs w:val="24"/>
              </w:rPr>
              <w:t>12</w:t>
            </w:r>
          </w:p>
        </w:tc>
      </w:tr>
    </w:tbl>
    <w:p w14:paraId="33E64733">
      <w:pPr>
        <w:pBdr>
          <w:bottom w:val="single" w:color="2E75B6" w:sz="8" w:space="6"/>
        </w:pBdr>
        <w:spacing w:before="480" w:after="240"/>
      </w:pPr>
      <w:r>
        <w:rPr>
          <w:rFonts w:ascii="宋体" w:hAnsi="宋体" w:eastAsia="宋体" w:cs="宋体"/>
          <w:b/>
          <w:bCs/>
          <w:color w:val="1F3864"/>
          <w:sz w:val="36"/>
          <w:szCs w:val="36"/>
        </w:rPr>
        <w:t>五、学习任务</w:t>
      </w:r>
    </w:p>
    <w:p w14:paraId="5C04F77F">
      <w:pPr>
        <w:spacing w:before="240" w:after="120"/>
        <w:ind w:left="240"/>
      </w:pPr>
      <w:r>
        <w:rPr>
          <w:rFonts w:ascii="宋体" w:hAnsi="宋体" w:eastAsia="宋体" w:cs="宋体"/>
          <w:color w:val="2E75B6"/>
          <w:sz w:val="28"/>
          <w:szCs w:val="28"/>
        </w:rPr>
        <w:t>▎</w:t>
      </w:r>
      <w:r>
        <w:rPr>
          <w:rFonts w:ascii="宋体" w:hAnsi="宋体" w:eastAsia="宋体" w:cs="宋体"/>
          <w:sz w:val="12"/>
          <w:szCs w:val="12"/>
        </w:rPr>
        <w:t>　</w:t>
      </w:r>
      <w:r>
        <w:rPr>
          <w:rFonts w:ascii="宋体" w:hAnsi="宋体" w:eastAsia="宋体" w:cs="宋体"/>
          <w:b/>
          <w:bCs/>
          <w:color w:val="2E75B6"/>
          <w:sz w:val="28"/>
          <w:szCs w:val="28"/>
        </w:rPr>
        <w:t>(一) 设计思路</w:t>
      </w:r>
    </w:p>
    <w:p w14:paraId="3D7701CC">
      <w:pPr>
        <w:spacing w:before="60" w:after="60" w:line="360" w:lineRule="auto"/>
        <w:ind w:firstLine="480"/>
        <w:jc w:val="both"/>
      </w:pPr>
      <w:r>
        <w:rPr>
          <w:rFonts w:ascii="宋体" w:hAnsi="宋体" w:eastAsia="宋体" w:cs="宋体"/>
          <w:sz w:val="24"/>
          <w:szCs w:val="24"/>
        </w:rPr>
        <w:t xml:space="preserve">坚持以岗位能力培养为本位的设计原则，教学内容、教学方法以及考核方式均围绕能力培养的原则来进行课程设计。 本课程结构上遵循企业开发“流程化”、项目“兴趣化”、教学“项目实战化”、模式“前瞻化” 、教材“权威化”、授课“案例化”等国内领先的IT工程师培养模式，并且结合科学的考核评价模式。内容上围绕云计算运维工程师中的能力需求选取，变知识学科本位为职业能力本位，将课程中所学知识与项目案例相结合，运用多媒体教学手段并采用讲授法、启发引导式法、情景式法、演示法、练习法、案例分析法等多种教学方法，最终让学生具备熟练掌握平台部署、认证服务、镜像服务、网络服务、计算服务、存储服务、超融合架构的能力。为相关课程打下坚实的基础。 </w:t>
      </w:r>
    </w:p>
    <w:p w14:paraId="45DB2248">
      <w:pPr>
        <w:spacing w:before="240" w:after="120"/>
        <w:ind w:left="240"/>
      </w:pPr>
      <w:r>
        <w:rPr>
          <w:rFonts w:ascii="宋体" w:hAnsi="宋体" w:eastAsia="宋体" w:cs="宋体"/>
          <w:color w:val="2E75B6"/>
          <w:sz w:val="28"/>
          <w:szCs w:val="28"/>
        </w:rPr>
        <w:t>▎</w:t>
      </w:r>
      <w:r>
        <w:rPr>
          <w:rFonts w:ascii="宋体" w:hAnsi="宋体" w:eastAsia="宋体" w:cs="宋体"/>
          <w:sz w:val="12"/>
          <w:szCs w:val="12"/>
        </w:rPr>
        <w:t>　</w:t>
      </w:r>
      <w:r>
        <w:rPr>
          <w:rFonts w:ascii="宋体" w:hAnsi="宋体" w:eastAsia="宋体" w:cs="宋体"/>
          <w:b/>
          <w:bCs/>
          <w:color w:val="2E75B6"/>
          <w:sz w:val="28"/>
          <w:szCs w:val="28"/>
        </w:rPr>
        <w:t>(二) 学习任务</w:t>
      </w:r>
    </w:p>
    <w:tbl>
      <w:tblPr>
        <w:tblStyle w:val="11"/>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482"/>
        <w:gridCol w:w="1329"/>
        <w:gridCol w:w="1128"/>
        <w:gridCol w:w="1678"/>
        <w:gridCol w:w="4383"/>
      </w:tblGrid>
      <w:tr w14:paraId="5BFB9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gridSpan w:val="5"/>
            <w:tcBorders>
              <w:top w:val="single" w:color="000000" w:sz="4" w:space="0"/>
              <w:left w:val="single" w:color="000000" w:sz="4" w:space="0"/>
              <w:bottom w:val="single" w:color="000000" w:sz="4" w:space="0"/>
              <w:right w:val="single" w:color="000000" w:sz="4" w:space="0"/>
            </w:tcBorders>
            <w:shd w:val="clear" w:color="000000" w:fill="2E75B6"/>
            <w:tcMar>
              <w:top w:w="120" w:type="dxa"/>
              <w:left w:w="120" w:type="dxa"/>
              <w:bottom w:w="120" w:type="dxa"/>
              <w:right w:w="120" w:type="dxa"/>
            </w:tcMar>
            <w:vAlign w:val="center"/>
          </w:tcPr>
          <w:p w14:paraId="14941E29">
            <w:pPr>
              <w:spacing w:before="0" w:after="0"/>
              <w:jc w:val="center"/>
            </w:pPr>
            <w:r>
              <w:rPr>
                <w:rFonts w:ascii="宋体" w:hAnsi="宋体" w:eastAsia="宋体" w:cs="宋体"/>
                <w:b/>
                <w:bCs/>
                <w:color w:val="FFFFFF"/>
                <w:sz w:val="30"/>
                <w:szCs w:val="30"/>
              </w:rPr>
              <w:t>学习任务</w:t>
            </w:r>
          </w:p>
        </w:tc>
      </w:tr>
      <w:tr w14:paraId="1C56B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Borders>
              <w:top w:val="single" w:color="000000" w:sz="4" w:space="0"/>
              <w:left w:val="single" w:color="000000" w:sz="4" w:space="0"/>
              <w:bottom w:val="single" w:color="000000" w:sz="4" w:space="0"/>
              <w:right w:val="single" w:color="000000" w:sz="4" w:space="0"/>
            </w:tcBorders>
            <w:shd w:val="clear" w:color="000000" w:fill="D9E2F3"/>
            <w:tcMar>
              <w:top w:w="80" w:type="dxa"/>
              <w:left w:w="120" w:type="dxa"/>
              <w:bottom w:w="80" w:type="dxa"/>
              <w:right w:w="120" w:type="dxa"/>
            </w:tcMar>
            <w:vAlign w:val="center"/>
          </w:tcPr>
          <w:p w14:paraId="2E9D7E96">
            <w:pPr>
              <w:spacing w:before="0" w:after="0"/>
              <w:jc w:val="center"/>
            </w:pPr>
            <w:r>
              <w:rPr>
                <w:rFonts w:ascii="宋体" w:hAnsi="宋体" w:eastAsia="宋体" w:cs="宋体"/>
                <w:b/>
                <w:bCs/>
                <w:sz w:val="24"/>
                <w:szCs w:val="24"/>
              </w:rPr>
              <w:t>任务序号</w:t>
            </w:r>
          </w:p>
        </w:tc>
        <w:tc>
          <w:tcPr>
            <w:tcBorders>
              <w:top w:val="single" w:color="000000" w:sz="4" w:space="0"/>
              <w:left w:val="single" w:color="000000" w:sz="4" w:space="0"/>
              <w:bottom w:val="single" w:color="000000" w:sz="4" w:space="0"/>
              <w:right w:val="single" w:color="000000" w:sz="4" w:space="0"/>
            </w:tcBorders>
            <w:shd w:val="clear" w:color="000000" w:fill="D9E2F3"/>
            <w:tcMar>
              <w:top w:w="80" w:type="dxa"/>
              <w:left w:w="120" w:type="dxa"/>
              <w:bottom w:w="80" w:type="dxa"/>
              <w:right w:w="120" w:type="dxa"/>
            </w:tcMar>
            <w:vAlign w:val="center"/>
          </w:tcPr>
          <w:p w14:paraId="128DD727">
            <w:pPr>
              <w:spacing w:before="0" w:after="0"/>
              <w:jc w:val="center"/>
            </w:pPr>
            <w:r>
              <w:rPr>
                <w:rFonts w:ascii="宋体" w:hAnsi="宋体" w:eastAsia="宋体" w:cs="宋体"/>
                <w:b/>
                <w:bCs/>
                <w:sz w:val="24"/>
                <w:szCs w:val="24"/>
              </w:rPr>
              <w:t>学习任务</w:t>
            </w:r>
          </w:p>
        </w:tc>
        <w:tc>
          <w:tcPr>
            <w:gridSpan w:val="2"/>
            <w:tcBorders>
              <w:top w:val="single" w:color="000000" w:sz="4" w:space="0"/>
              <w:left w:val="single" w:color="000000" w:sz="4" w:space="0"/>
              <w:bottom w:val="single" w:color="000000" w:sz="4" w:space="0"/>
              <w:right w:val="single" w:color="000000" w:sz="4" w:space="0"/>
            </w:tcBorders>
            <w:shd w:val="clear" w:color="000000" w:fill="D9E2F3"/>
            <w:tcMar>
              <w:top w:w="80" w:type="dxa"/>
              <w:left w:w="120" w:type="dxa"/>
              <w:bottom w:w="80" w:type="dxa"/>
              <w:right w:w="120" w:type="dxa"/>
            </w:tcMar>
            <w:vAlign w:val="center"/>
          </w:tcPr>
          <w:p w14:paraId="37A70F35">
            <w:pPr>
              <w:spacing w:before="0" w:after="0"/>
              <w:jc w:val="center"/>
            </w:pPr>
            <w:r>
              <w:rPr>
                <w:rFonts w:ascii="宋体" w:hAnsi="宋体" w:eastAsia="宋体" w:cs="宋体"/>
                <w:b/>
                <w:bCs/>
                <w:sz w:val="24"/>
                <w:szCs w:val="24"/>
              </w:rPr>
              <w:t>子任务</w:t>
            </w:r>
          </w:p>
        </w:tc>
        <w:tc>
          <w:tcPr>
            <w:tcBorders>
              <w:top w:val="single" w:color="000000" w:sz="4" w:space="0"/>
              <w:left w:val="single" w:color="000000" w:sz="4" w:space="0"/>
              <w:bottom w:val="single" w:color="000000" w:sz="4" w:space="0"/>
              <w:right w:val="single" w:color="000000" w:sz="4" w:space="0"/>
            </w:tcBorders>
            <w:shd w:val="clear" w:color="000000" w:fill="D9E2F3"/>
            <w:tcMar>
              <w:top w:w="80" w:type="dxa"/>
              <w:left w:w="120" w:type="dxa"/>
              <w:bottom w:w="80" w:type="dxa"/>
              <w:right w:w="120" w:type="dxa"/>
            </w:tcMar>
            <w:vAlign w:val="center"/>
          </w:tcPr>
          <w:p w14:paraId="78616C69">
            <w:pPr>
              <w:spacing w:before="0" w:after="0"/>
              <w:jc w:val="center"/>
            </w:pPr>
            <w:r>
              <w:rPr>
                <w:rFonts w:ascii="宋体" w:hAnsi="宋体" w:eastAsia="宋体" w:cs="宋体"/>
                <w:b/>
                <w:bCs/>
                <w:sz w:val="24"/>
                <w:szCs w:val="24"/>
              </w:rPr>
              <w:t>覆盖目标</w:t>
            </w:r>
          </w:p>
        </w:tc>
      </w:tr>
      <w:tr w14:paraId="59A3E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vMerge w:val="restart"/>
            <w:tcBorders>
              <w:top w:val="single" w:color="000000" w:sz="4" w:space="0"/>
              <w:left w:val="single" w:color="000000" w:sz="4" w:space="0"/>
              <w:bottom w:val="single" w:color="000000" w:sz="4" w:space="0"/>
              <w:right w:val="single" w:color="000000" w:sz="4" w:space="0"/>
            </w:tcBorders>
            <w:shd w:val="clear" w:color="000000" w:fill="D9E2F3"/>
            <w:tcMar>
              <w:top w:w="80" w:type="dxa"/>
              <w:left w:w="120" w:type="dxa"/>
              <w:bottom w:w="80" w:type="dxa"/>
              <w:right w:w="120" w:type="dxa"/>
            </w:tcMar>
            <w:vAlign w:val="center"/>
          </w:tcPr>
          <w:p w14:paraId="0E772AC5">
            <w:pPr>
              <w:spacing w:before="0" w:after="0"/>
              <w:jc w:val="center"/>
            </w:pPr>
            <w:r>
              <w:rPr>
                <w:rFonts w:ascii="宋体" w:hAnsi="宋体" w:eastAsia="宋体" w:cs="宋体"/>
                <w:b/>
                <w:bCs/>
                <w:sz w:val="24"/>
                <w:szCs w:val="24"/>
              </w:rPr>
              <w:t>T1</w:t>
            </w:r>
          </w:p>
        </w:tc>
        <w:tc>
          <w:tcPr>
            <w:vMerge w:val="restart"/>
            <w:tcBorders>
              <w:top w:val="single" w:color="000000" w:sz="4" w:space="0"/>
              <w:left w:val="single" w:color="000000" w:sz="4" w:space="0"/>
              <w:bottom w:val="single" w:color="000000" w:sz="4" w:space="0"/>
              <w:right w:val="single" w:color="000000" w:sz="4" w:space="0"/>
            </w:tcBorders>
            <w:shd w:val="clear" w:color="000000" w:fill="D9E2F3"/>
            <w:tcMar>
              <w:top w:w="80" w:type="dxa"/>
              <w:left w:w="120" w:type="dxa"/>
              <w:bottom w:w="80" w:type="dxa"/>
              <w:right w:w="120" w:type="dxa"/>
            </w:tcMar>
            <w:vAlign w:val="center"/>
          </w:tcPr>
          <w:p w14:paraId="4AF1A2F1">
            <w:pPr>
              <w:spacing w:before="0" w:after="0"/>
              <w:jc w:val="center"/>
            </w:pPr>
            <w:r>
              <w:rPr>
                <w:rFonts w:ascii="宋体" w:hAnsi="宋体" w:eastAsia="宋体" w:cs="宋体"/>
                <w:b/>
                <w:bCs/>
                <w:sz w:val="24"/>
                <w:szCs w:val="24"/>
              </w:rPr>
              <w:t>认识云计算</w:t>
            </w:r>
          </w:p>
        </w:tc>
        <w:tc>
          <w:tcPr>
            <w:tcW w:w="16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vAlign w:val="center"/>
          </w:tcPr>
          <w:p w14:paraId="6DC46EAC">
            <w:pPr>
              <w:spacing w:before="0" w:after="0"/>
              <w:jc w:val="center"/>
            </w:pPr>
            <w:r>
              <w:rPr>
                <w:rFonts w:ascii="宋体" w:hAnsi="宋体" w:eastAsia="宋体" w:cs="宋体"/>
                <w:b/>
                <w:bCs/>
                <w:sz w:val="24"/>
                <w:szCs w:val="24"/>
              </w:rPr>
              <w:t>T1-1</w:t>
            </w:r>
          </w:p>
        </w:tc>
        <w:tc>
          <w:tcPr>
            <w:tcW w:w="20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vAlign w:val="center"/>
          </w:tcPr>
          <w:p w14:paraId="5B658926">
            <w:pPr>
              <w:spacing w:before="0" w:after="0"/>
            </w:pPr>
            <w:r>
              <w:rPr>
                <w:rFonts w:ascii="宋体" w:hAnsi="宋体" w:eastAsia="宋体" w:cs="宋体"/>
                <w:sz w:val="24"/>
                <w:szCs w:val="24"/>
              </w:rPr>
              <w:t>云计算的基础概念</w:t>
            </w:r>
          </w:p>
        </w:tc>
        <w:tc>
          <w:tcPr>
            <w:tcW w:w="2200" w:type="dxa"/>
            <w:vMerge w:val="restart"/>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vAlign w:val="center"/>
          </w:tcPr>
          <w:p w14:paraId="370FBE8E">
            <w:pPr>
              <w:spacing w:before="0" w:after="0"/>
            </w:pPr>
            <w:r>
              <w:rPr>
                <w:rFonts w:ascii="宋体" w:hAnsi="宋体" w:eastAsia="宋体" w:cs="宋体"/>
                <w:sz w:val="24"/>
                <w:szCs w:val="24"/>
              </w:rPr>
              <w:t>K1、A1、A2、A3、A4、A5</w:t>
            </w:r>
          </w:p>
        </w:tc>
      </w:tr>
      <w:tr w14:paraId="318E2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vMerge w:val="continue"/>
            <w:tcBorders>
              <w:top w:val="single" w:color="000000" w:sz="4" w:space="0"/>
              <w:left w:val="single" w:color="000000" w:sz="4" w:space="0"/>
              <w:bottom w:val="single" w:color="000000" w:sz="4" w:space="0"/>
              <w:right w:val="single" w:color="000000" w:sz="4" w:space="0"/>
            </w:tcBorders>
            <w:shd w:val="clear" w:color="000000" w:fill="D9E2F3"/>
            <w:tcMar>
              <w:top w:w="80" w:type="dxa"/>
              <w:left w:w="120" w:type="dxa"/>
              <w:bottom w:w="80" w:type="dxa"/>
              <w:right w:w="120" w:type="dxa"/>
            </w:tcMar>
            <w:vAlign w:val="center"/>
          </w:tcPr>
          <w:p w14:paraId="7280B0F9">
            <w:pPr>
              <w:spacing w:before="0" w:after="0"/>
              <w:jc w:val="center"/>
            </w:pPr>
            <w:r>
              <w:rPr>
                <w:rFonts w:ascii="宋体" w:hAnsi="宋体" w:eastAsia="宋体" w:cs="宋体"/>
                <w:b/>
                <w:bCs/>
                <w:sz w:val="24"/>
                <w:szCs w:val="24"/>
              </w:rPr>
              <w:t>T1</w:t>
            </w:r>
          </w:p>
        </w:tc>
        <w:tc>
          <w:tcPr>
            <w:vMerge w:val="continue"/>
            <w:tcBorders>
              <w:top w:val="single" w:color="000000" w:sz="4" w:space="0"/>
              <w:left w:val="single" w:color="000000" w:sz="4" w:space="0"/>
              <w:bottom w:val="single" w:color="000000" w:sz="4" w:space="0"/>
              <w:right w:val="single" w:color="000000" w:sz="4" w:space="0"/>
            </w:tcBorders>
            <w:shd w:val="clear" w:color="000000" w:fill="D9E2F3"/>
            <w:tcMar>
              <w:top w:w="80" w:type="dxa"/>
              <w:left w:w="120" w:type="dxa"/>
              <w:bottom w:w="80" w:type="dxa"/>
              <w:right w:w="120" w:type="dxa"/>
            </w:tcMar>
            <w:vAlign w:val="center"/>
          </w:tcPr>
          <w:p w14:paraId="51E8DF6E">
            <w:pPr>
              <w:spacing w:before="0" w:after="0"/>
              <w:jc w:val="center"/>
            </w:pPr>
            <w:r>
              <w:rPr>
                <w:rFonts w:ascii="宋体" w:hAnsi="宋体" w:eastAsia="宋体" w:cs="宋体"/>
                <w:b/>
                <w:bCs/>
                <w:sz w:val="24"/>
                <w:szCs w:val="24"/>
              </w:rPr>
              <w:t>认识云计算</w:t>
            </w:r>
          </w:p>
        </w:tc>
        <w:tc>
          <w:tcPr>
            <w:tcW w:w="16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vAlign w:val="center"/>
          </w:tcPr>
          <w:p w14:paraId="7D68DAB7">
            <w:pPr>
              <w:spacing w:before="0" w:after="0"/>
              <w:jc w:val="center"/>
            </w:pPr>
            <w:r>
              <w:rPr>
                <w:rFonts w:ascii="宋体" w:hAnsi="宋体" w:eastAsia="宋体" w:cs="宋体"/>
                <w:b/>
                <w:bCs/>
                <w:sz w:val="24"/>
                <w:szCs w:val="24"/>
              </w:rPr>
              <w:t>T1-2</w:t>
            </w:r>
          </w:p>
        </w:tc>
        <w:tc>
          <w:tcPr>
            <w:tcW w:w="20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vAlign w:val="center"/>
          </w:tcPr>
          <w:p w14:paraId="7045B170">
            <w:pPr>
              <w:spacing w:before="0" w:after="0"/>
            </w:pPr>
            <w:r>
              <w:rPr>
                <w:rFonts w:ascii="宋体" w:hAnsi="宋体" w:eastAsia="宋体" w:cs="宋体"/>
                <w:sz w:val="24"/>
                <w:szCs w:val="24"/>
              </w:rPr>
              <w:t>OpenStack平台及OpenStack的安装与使用</w:t>
            </w:r>
          </w:p>
        </w:tc>
        <w:tc>
          <w:tcPr>
            <w:tcW w:w="2200" w:type="dxa"/>
            <w:vMerge w:val="continue"/>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vAlign w:val="center"/>
          </w:tcPr>
          <w:p w14:paraId="22346E38">
            <w:pPr>
              <w:spacing w:before="0" w:after="0"/>
            </w:pPr>
            <w:r>
              <w:rPr>
                <w:rFonts w:ascii="宋体" w:hAnsi="宋体" w:eastAsia="宋体" w:cs="宋体"/>
                <w:sz w:val="24"/>
                <w:szCs w:val="24"/>
              </w:rPr>
              <w:t>K1、A1、A2、A3、A4、A5</w:t>
            </w:r>
          </w:p>
        </w:tc>
      </w:tr>
      <w:tr w14:paraId="6E43C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vMerge w:val="restart"/>
            <w:tcBorders>
              <w:top w:val="single" w:color="000000" w:sz="4" w:space="0"/>
              <w:left w:val="single" w:color="000000" w:sz="4" w:space="0"/>
              <w:bottom w:val="single" w:color="000000" w:sz="4" w:space="0"/>
              <w:right w:val="single" w:color="000000" w:sz="4" w:space="0"/>
            </w:tcBorders>
            <w:shd w:val="clear" w:color="000000" w:fill="D9E2F3"/>
            <w:tcMar>
              <w:top w:w="80" w:type="dxa"/>
              <w:left w:w="120" w:type="dxa"/>
              <w:bottom w:w="80" w:type="dxa"/>
              <w:right w:w="120" w:type="dxa"/>
            </w:tcMar>
            <w:vAlign w:val="center"/>
          </w:tcPr>
          <w:p w14:paraId="5FBBBAF1">
            <w:pPr>
              <w:spacing w:before="0" w:after="0"/>
              <w:jc w:val="center"/>
            </w:pPr>
            <w:r>
              <w:rPr>
                <w:rFonts w:ascii="宋体" w:hAnsi="宋体" w:eastAsia="宋体" w:cs="宋体"/>
                <w:b/>
                <w:bCs/>
                <w:sz w:val="24"/>
                <w:szCs w:val="24"/>
              </w:rPr>
              <w:t>T2</w:t>
            </w:r>
          </w:p>
        </w:tc>
        <w:tc>
          <w:tcPr>
            <w:vMerge w:val="restart"/>
            <w:tcBorders>
              <w:top w:val="single" w:color="000000" w:sz="4" w:space="0"/>
              <w:left w:val="single" w:color="000000" w:sz="4" w:space="0"/>
              <w:bottom w:val="single" w:color="000000" w:sz="4" w:space="0"/>
              <w:right w:val="single" w:color="000000" w:sz="4" w:space="0"/>
            </w:tcBorders>
            <w:shd w:val="clear" w:color="000000" w:fill="D9E2F3"/>
            <w:tcMar>
              <w:top w:w="80" w:type="dxa"/>
              <w:left w:w="120" w:type="dxa"/>
              <w:bottom w:w="80" w:type="dxa"/>
              <w:right w:w="120" w:type="dxa"/>
            </w:tcMar>
            <w:vAlign w:val="center"/>
          </w:tcPr>
          <w:p w14:paraId="3F1B6CD0">
            <w:pPr>
              <w:spacing w:before="0" w:after="0"/>
              <w:jc w:val="center"/>
            </w:pPr>
            <w:r>
              <w:rPr>
                <w:rFonts w:ascii="宋体" w:hAnsi="宋体" w:eastAsia="宋体" w:cs="宋体"/>
                <w:b/>
                <w:bCs/>
                <w:sz w:val="24"/>
                <w:szCs w:val="24"/>
              </w:rPr>
              <w:t>OpenStack中的认证服务运维</w:t>
            </w:r>
          </w:p>
        </w:tc>
        <w:tc>
          <w:tcPr>
            <w:tcW w:w="16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vAlign w:val="center"/>
          </w:tcPr>
          <w:p w14:paraId="1757D9FE">
            <w:pPr>
              <w:spacing w:before="0" w:after="0"/>
              <w:jc w:val="center"/>
            </w:pPr>
            <w:r>
              <w:rPr>
                <w:rFonts w:ascii="宋体" w:hAnsi="宋体" w:eastAsia="宋体" w:cs="宋体"/>
                <w:b/>
                <w:bCs/>
                <w:sz w:val="24"/>
                <w:szCs w:val="24"/>
              </w:rPr>
              <w:t>T2-1</w:t>
            </w:r>
          </w:p>
        </w:tc>
        <w:tc>
          <w:tcPr>
            <w:tcW w:w="20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vAlign w:val="center"/>
          </w:tcPr>
          <w:p w14:paraId="35B0A42B">
            <w:pPr>
              <w:spacing w:before="0" w:after="0"/>
            </w:pPr>
            <w:r>
              <w:rPr>
                <w:rFonts w:ascii="宋体" w:hAnsi="宋体" w:eastAsia="宋体" w:cs="宋体"/>
                <w:sz w:val="24"/>
                <w:szCs w:val="24"/>
              </w:rPr>
              <w:t>Keystone认证服务</w:t>
            </w:r>
          </w:p>
        </w:tc>
        <w:tc>
          <w:tcPr>
            <w:tcW w:w="2200" w:type="dxa"/>
            <w:vMerge w:val="restart"/>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vAlign w:val="center"/>
          </w:tcPr>
          <w:p w14:paraId="04BF5385">
            <w:pPr>
              <w:spacing w:before="0" w:after="0"/>
            </w:pPr>
            <w:r>
              <w:rPr>
                <w:rFonts w:ascii="宋体" w:hAnsi="宋体" w:eastAsia="宋体" w:cs="宋体"/>
                <w:sz w:val="24"/>
                <w:szCs w:val="24"/>
              </w:rPr>
              <w:t>K1、K2、S1、A1、A2、A3、A4、A5</w:t>
            </w:r>
          </w:p>
        </w:tc>
      </w:tr>
      <w:tr w14:paraId="66668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vMerge w:val="continue"/>
            <w:tcBorders>
              <w:top w:val="single" w:color="000000" w:sz="4" w:space="0"/>
              <w:left w:val="single" w:color="000000" w:sz="4" w:space="0"/>
              <w:bottom w:val="single" w:color="000000" w:sz="4" w:space="0"/>
              <w:right w:val="single" w:color="000000" w:sz="4" w:space="0"/>
            </w:tcBorders>
            <w:shd w:val="clear" w:color="000000" w:fill="D9E2F3"/>
            <w:tcMar>
              <w:top w:w="80" w:type="dxa"/>
              <w:left w:w="120" w:type="dxa"/>
              <w:bottom w:w="80" w:type="dxa"/>
              <w:right w:w="120" w:type="dxa"/>
            </w:tcMar>
            <w:vAlign w:val="center"/>
          </w:tcPr>
          <w:p w14:paraId="14C705ED">
            <w:pPr>
              <w:spacing w:before="0" w:after="0"/>
              <w:jc w:val="center"/>
            </w:pPr>
            <w:r>
              <w:rPr>
                <w:rFonts w:ascii="宋体" w:hAnsi="宋体" w:eastAsia="宋体" w:cs="宋体"/>
                <w:b/>
                <w:bCs/>
                <w:sz w:val="24"/>
                <w:szCs w:val="24"/>
              </w:rPr>
              <w:t>T2</w:t>
            </w:r>
          </w:p>
        </w:tc>
        <w:tc>
          <w:tcPr>
            <w:vMerge w:val="continue"/>
            <w:tcBorders>
              <w:top w:val="single" w:color="000000" w:sz="4" w:space="0"/>
              <w:left w:val="single" w:color="000000" w:sz="4" w:space="0"/>
              <w:bottom w:val="single" w:color="000000" w:sz="4" w:space="0"/>
              <w:right w:val="single" w:color="000000" w:sz="4" w:space="0"/>
            </w:tcBorders>
            <w:shd w:val="clear" w:color="000000" w:fill="D9E2F3"/>
            <w:tcMar>
              <w:top w:w="80" w:type="dxa"/>
              <w:left w:w="120" w:type="dxa"/>
              <w:bottom w:w="80" w:type="dxa"/>
              <w:right w:w="120" w:type="dxa"/>
            </w:tcMar>
            <w:vAlign w:val="center"/>
          </w:tcPr>
          <w:p w14:paraId="7871D51E">
            <w:pPr>
              <w:spacing w:before="0" w:after="0"/>
              <w:jc w:val="center"/>
            </w:pPr>
            <w:r>
              <w:rPr>
                <w:rFonts w:ascii="宋体" w:hAnsi="宋体" w:eastAsia="宋体" w:cs="宋体"/>
                <w:b/>
                <w:bCs/>
                <w:sz w:val="24"/>
                <w:szCs w:val="24"/>
              </w:rPr>
              <w:t>OpenStack中的认证服务运维</w:t>
            </w:r>
          </w:p>
        </w:tc>
        <w:tc>
          <w:tcPr>
            <w:tcW w:w="16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vAlign w:val="center"/>
          </w:tcPr>
          <w:p w14:paraId="19598AFB">
            <w:pPr>
              <w:spacing w:before="0" w:after="0"/>
              <w:jc w:val="center"/>
            </w:pPr>
            <w:r>
              <w:rPr>
                <w:rFonts w:ascii="宋体" w:hAnsi="宋体" w:eastAsia="宋体" w:cs="宋体"/>
                <w:b/>
                <w:bCs/>
                <w:sz w:val="24"/>
                <w:szCs w:val="24"/>
              </w:rPr>
              <w:t>T2-2</w:t>
            </w:r>
          </w:p>
        </w:tc>
        <w:tc>
          <w:tcPr>
            <w:tcW w:w="20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vAlign w:val="center"/>
          </w:tcPr>
          <w:p w14:paraId="358C51F2">
            <w:pPr>
              <w:spacing w:before="0" w:after="0"/>
            </w:pPr>
            <w:r>
              <w:rPr>
                <w:rFonts w:ascii="宋体" w:hAnsi="宋体" w:eastAsia="宋体" w:cs="宋体"/>
                <w:sz w:val="24"/>
                <w:szCs w:val="24"/>
              </w:rPr>
              <w:t xml:space="preserve"> Keystone认证服务的使用和运维</w:t>
            </w:r>
          </w:p>
        </w:tc>
        <w:tc>
          <w:tcPr>
            <w:tcW w:w="2200" w:type="dxa"/>
            <w:vMerge w:val="continue"/>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vAlign w:val="center"/>
          </w:tcPr>
          <w:p w14:paraId="28BD63E3">
            <w:pPr>
              <w:spacing w:before="0" w:after="0"/>
            </w:pPr>
            <w:r>
              <w:rPr>
                <w:rFonts w:ascii="宋体" w:hAnsi="宋体" w:eastAsia="宋体" w:cs="宋体"/>
                <w:sz w:val="24"/>
                <w:szCs w:val="24"/>
              </w:rPr>
              <w:t>K1、K2、S1、A1、A2、A3、A4、A5</w:t>
            </w:r>
          </w:p>
        </w:tc>
      </w:tr>
      <w:tr w14:paraId="1123B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vMerge w:val="restart"/>
            <w:tcBorders>
              <w:top w:val="single" w:color="000000" w:sz="4" w:space="0"/>
              <w:left w:val="single" w:color="000000" w:sz="4" w:space="0"/>
              <w:bottom w:val="single" w:color="000000" w:sz="4" w:space="0"/>
              <w:right w:val="single" w:color="000000" w:sz="4" w:space="0"/>
            </w:tcBorders>
            <w:shd w:val="clear" w:color="000000" w:fill="D9E2F3"/>
            <w:tcMar>
              <w:top w:w="80" w:type="dxa"/>
              <w:left w:w="120" w:type="dxa"/>
              <w:bottom w:w="80" w:type="dxa"/>
              <w:right w:w="120" w:type="dxa"/>
            </w:tcMar>
            <w:vAlign w:val="center"/>
          </w:tcPr>
          <w:p w14:paraId="7FE31F26">
            <w:pPr>
              <w:spacing w:before="0" w:after="0"/>
              <w:jc w:val="center"/>
            </w:pPr>
            <w:r>
              <w:rPr>
                <w:rFonts w:ascii="宋体" w:hAnsi="宋体" w:eastAsia="宋体" w:cs="宋体"/>
                <w:b/>
                <w:bCs/>
                <w:sz w:val="24"/>
                <w:szCs w:val="24"/>
              </w:rPr>
              <w:t>T3</w:t>
            </w:r>
          </w:p>
        </w:tc>
        <w:tc>
          <w:tcPr>
            <w:vMerge w:val="restart"/>
            <w:tcBorders>
              <w:top w:val="single" w:color="000000" w:sz="4" w:space="0"/>
              <w:left w:val="single" w:color="000000" w:sz="4" w:space="0"/>
              <w:bottom w:val="single" w:color="000000" w:sz="4" w:space="0"/>
              <w:right w:val="single" w:color="000000" w:sz="4" w:space="0"/>
            </w:tcBorders>
            <w:shd w:val="clear" w:color="000000" w:fill="D9E2F3"/>
            <w:tcMar>
              <w:top w:w="80" w:type="dxa"/>
              <w:left w:w="120" w:type="dxa"/>
              <w:bottom w:w="80" w:type="dxa"/>
              <w:right w:w="120" w:type="dxa"/>
            </w:tcMar>
            <w:vAlign w:val="center"/>
          </w:tcPr>
          <w:p w14:paraId="47D22B4C">
            <w:pPr>
              <w:spacing w:before="0" w:after="0"/>
              <w:jc w:val="center"/>
            </w:pPr>
            <w:r>
              <w:rPr>
                <w:rFonts w:ascii="宋体" w:hAnsi="宋体" w:eastAsia="宋体" w:cs="宋体"/>
                <w:b/>
                <w:bCs/>
                <w:sz w:val="24"/>
                <w:szCs w:val="24"/>
              </w:rPr>
              <w:t>OpenStack中的镜像服务运维</w:t>
            </w:r>
          </w:p>
        </w:tc>
        <w:tc>
          <w:tcPr>
            <w:tcW w:w="16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vAlign w:val="center"/>
          </w:tcPr>
          <w:p w14:paraId="6B5F3E62">
            <w:pPr>
              <w:spacing w:before="0" w:after="0"/>
              <w:jc w:val="center"/>
            </w:pPr>
            <w:r>
              <w:rPr>
                <w:rFonts w:ascii="宋体" w:hAnsi="宋体" w:eastAsia="宋体" w:cs="宋体"/>
                <w:b/>
                <w:bCs/>
                <w:sz w:val="24"/>
                <w:szCs w:val="24"/>
              </w:rPr>
              <w:t>T3-1</w:t>
            </w:r>
          </w:p>
        </w:tc>
        <w:tc>
          <w:tcPr>
            <w:tcW w:w="20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vAlign w:val="center"/>
          </w:tcPr>
          <w:p w14:paraId="692DD43B">
            <w:pPr>
              <w:spacing w:before="0" w:after="0"/>
            </w:pPr>
            <w:r>
              <w:rPr>
                <w:rFonts w:ascii="宋体" w:hAnsi="宋体" w:eastAsia="宋体" w:cs="宋体"/>
                <w:sz w:val="24"/>
                <w:szCs w:val="24"/>
              </w:rPr>
              <w:t>Glance镜像服务</w:t>
            </w:r>
          </w:p>
        </w:tc>
        <w:tc>
          <w:tcPr>
            <w:tcW w:w="2200" w:type="dxa"/>
            <w:vMerge w:val="restart"/>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vAlign w:val="center"/>
          </w:tcPr>
          <w:p w14:paraId="4360F991">
            <w:pPr>
              <w:spacing w:before="0" w:after="0"/>
            </w:pPr>
            <w:r>
              <w:rPr>
                <w:rFonts w:ascii="宋体" w:hAnsi="宋体" w:eastAsia="宋体" w:cs="宋体"/>
                <w:sz w:val="24"/>
                <w:szCs w:val="24"/>
              </w:rPr>
              <w:t>K1、K2、K3、S1、S2、A1、A2、A3、A4、A5</w:t>
            </w:r>
          </w:p>
        </w:tc>
      </w:tr>
      <w:tr w14:paraId="7AB75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vMerge w:val="continue"/>
            <w:tcBorders>
              <w:top w:val="single" w:color="000000" w:sz="4" w:space="0"/>
              <w:left w:val="single" w:color="000000" w:sz="4" w:space="0"/>
              <w:bottom w:val="single" w:color="000000" w:sz="4" w:space="0"/>
              <w:right w:val="single" w:color="000000" w:sz="4" w:space="0"/>
            </w:tcBorders>
            <w:shd w:val="clear" w:color="000000" w:fill="D9E2F3"/>
            <w:tcMar>
              <w:top w:w="80" w:type="dxa"/>
              <w:left w:w="120" w:type="dxa"/>
              <w:bottom w:w="80" w:type="dxa"/>
              <w:right w:w="120" w:type="dxa"/>
            </w:tcMar>
            <w:vAlign w:val="center"/>
          </w:tcPr>
          <w:p w14:paraId="710F1E94">
            <w:pPr>
              <w:spacing w:before="0" w:after="0"/>
              <w:jc w:val="center"/>
            </w:pPr>
            <w:r>
              <w:rPr>
                <w:rFonts w:ascii="宋体" w:hAnsi="宋体" w:eastAsia="宋体" w:cs="宋体"/>
                <w:b/>
                <w:bCs/>
                <w:sz w:val="24"/>
                <w:szCs w:val="24"/>
              </w:rPr>
              <w:t>T3</w:t>
            </w:r>
          </w:p>
        </w:tc>
        <w:tc>
          <w:tcPr>
            <w:vMerge w:val="continue"/>
            <w:tcBorders>
              <w:top w:val="single" w:color="000000" w:sz="4" w:space="0"/>
              <w:left w:val="single" w:color="000000" w:sz="4" w:space="0"/>
              <w:bottom w:val="single" w:color="000000" w:sz="4" w:space="0"/>
              <w:right w:val="single" w:color="000000" w:sz="4" w:space="0"/>
            </w:tcBorders>
            <w:shd w:val="clear" w:color="000000" w:fill="D9E2F3"/>
            <w:tcMar>
              <w:top w:w="80" w:type="dxa"/>
              <w:left w:w="120" w:type="dxa"/>
              <w:bottom w:w="80" w:type="dxa"/>
              <w:right w:w="120" w:type="dxa"/>
            </w:tcMar>
            <w:vAlign w:val="center"/>
          </w:tcPr>
          <w:p w14:paraId="312C4B06">
            <w:pPr>
              <w:spacing w:before="0" w:after="0"/>
              <w:jc w:val="center"/>
            </w:pPr>
            <w:r>
              <w:rPr>
                <w:rFonts w:ascii="宋体" w:hAnsi="宋体" w:eastAsia="宋体" w:cs="宋体"/>
                <w:b/>
                <w:bCs/>
                <w:sz w:val="24"/>
                <w:szCs w:val="24"/>
              </w:rPr>
              <w:t>OpenStack中的镜像服务运维</w:t>
            </w:r>
          </w:p>
        </w:tc>
        <w:tc>
          <w:tcPr>
            <w:tcW w:w="16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vAlign w:val="center"/>
          </w:tcPr>
          <w:p w14:paraId="23AD08DC">
            <w:pPr>
              <w:spacing w:before="0" w:after="0"/>
              <w:jc w:val="center"/>
            </w:pPr>
            <w:r>
              <w:rPr>
                <w:rFonts w:ascii="宋体" w:hAnsi="宋体" w:eastAsia="宋体" w:cs="宋体"/>
                <w:b/>
                <w:bCs/>
                <w:sz w:val="24"/>
                <w:szCs w:val="24"/>
              </w:rPr>
              <w:t>T3-2</w:t>
            </w:r>
          </w:p>
        </w:tc>
        <w:tc>
          <w:tcPr>
            <w:tcW w:w="20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vAlign w:val="center"/>
          </w:tcPr>
          <w:p w14:paraId="09A6F05E">
            <w:pPr>
              <w:spacing w:before="0" w:after="0"/>
            </w:pPr>
            <w:r>
              <w:rPr>
                <w:rFonts w:ascii="宋体" w:hAnsi="宋体" w:eastAsia="宋体" w:cs="宋体"/>
                <w:sz w:val="24"/>
                <w:szCs w:val="24"/>
              </w:rPr>
              <w:t xml:space="preserve"> Glance镜像服务的使用和运维</w:t>
            </w:r>
          </w:p>
        </w:tc>
        <w:tc>
          <w:tcPr>
            <w:tcW w:w="2200" w:type="dxa"/>
            <w:vMerge w:val="continue"/>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vAlign w:val="center"/>
          </w:tcPr>
          <w:p w14:paraId="68F07116">
            <w:pPr>
              <w:spacing w:before="0" w:after="0"/>
            </w:pPr>
            <w:r>
              <w:rPr>
                <w:rFonts w:ascii="宋体" w:hAnsi="宋体" w:eastAsia="宋体" w:cs="宋体"/>
                <w:sz w:val="24"/>
                <w:szCs w:val="24"/>
              </w:rPr>
              <w:t>K1、K2、K3、S1、S2、A1、A2、A3、A4、A5</w:t>
            </w:r>
          </w:p>
        </w:tc>
      </w:tr>
      <w:tr w14:paraId="05D12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vMerge w:val="restart"/>
            <w:tcBorders>
              <w:top w:val="single" w:color="000000" w:sz="4" w:space="0"/>
              <w:left w:val="single" w:color="000000" w:sz="4" w:space="0"/>
              <w:bottom w:val="single" w:color="000000" w:sz="4" w:space="0"/>
              <w:right w:val="single" w:color="000000" w:sz="4" w:space="0"/>
            </w:tcBorders>
            <w:shd w:val="clear" w:color="000000" w:fill="D9E2F3"/>
            <w:tcMar>
              <w:top w:w="80" w:type="dxa"/>
              <w:left w:w="120" w:type="dxa"/>
              <w:bottom w:w="80" w:type="dxa"/>
              <w:right w:w="120" w:type="dxa"/>
            </w:tcMar>
            <w:vAlign w:val="center"/>
          </w:tcPr>
          <w:p w14:paraId="618A8910">
            <w:pPr>
              <w:spacing w:before="0" w:after="0"/>
              <w:jc w:val="center"/>
            </w:pPr>
            <w:r>
              <w:rPr>
                <w:rFonts w:ascii="宋体" w:hAnsi="宋体" w:eastAsia="宋体" w:cs="宋体"/>
                <w:b/>
                <w:bCs/>
                <w:sz w:val="24"/>
                <w:szCs w:val="24"/>
              </w:rPr>
              <w:t>T4</w:t>
            </w:r>
          </w:p>
        </w:tc>
        <w:tc>
          <w:tcPr>
            <w:vMerge w:val="restart"/>
            <w:tcBorders>
              <w:top w:val="single" w:color="000000" w:sz="4" w:space="0"/>
              <w:left w:val="single" w:color="000000" w:sz="4" w:space="0"/>
              <w:bottom w:val="single" w:color="000000" w:sz="4" w:space="0"/>
              <w:right w:val="single" w:color="000000" w:sz="4" w:space="0"/>
            </w:tcBorders>
            <w:shd w:val="clear" w:color="000000" w:fill="D9E2F3"/>
            <w:tcMar>
              <w:top w:w="80" w:type="dxa"/>
              <w:left w:w="120" w:type="dxa"/>
              <w:bottom w:w="80" w:type="dxa"/>
              <w:right w:w="120" w:type="dxa"/>
            </w:tcMar>
            <w:vAlign w:val="center"/>
          </w:tcPr>
          <w:p w14:paraId="6FEF669C">
            <w:pPr>
              <w:spacing w:before="0" w:after="0"/>
              <w:jc w:val="center"/>
            </w:pPr>
            <w:r>
              <w:rPr>
                <w:rFonts w:ascii="宋体" w:hAnsi="宋体" w:eastAsia="宋体" w:cs="宋体"/>
                <w:b/>
                <w:bCs/>
                <w:sz w:val="24"/>
                <w:szCs w:val="24"/>
              </w:rPr>
              <w:t>OpenStack中的网络服务运维</w:t>
            </w:r>
          </w:p>
        </w:tc>
        <w:tc>
          <w:tcPr>
            <w:tcW w:w="16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vAlign w:val="center"/>
          </w:tcPr>
          <w:p w14:paraId="5A9448E6">
            <w:pPr>
              <w:spacing w:before="0" w:after="0"/>
              <w:jc w:val="center"/>
            </w:pPr>
            <w:r>
              <w:rPr>
                <w:rFonts w:ascii="宋体" w:hAnsi="宋体" w:eastAsia="宋体" w:cs="宋体"/>
                <w:b/>
                <w:bCs/>
                <w:sz w:val="24"/>
                <w:szCs w:val="24"/>
              </w:rPr>
              <w:t>T4-1</w:t>
            </w:r>
          </w:p>
        </w:tc>
        <w:tc>
          <w:tcPr>
            <w:tcW w:w="20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vAlign w:val="center"/>
          </w:tcPr>
          <w:p w14:paraId="53CAD3BB">
            <w:pPr>
              <w:spacing w:before="0" w:after="0"/>
            </w:pPr>
            <w:r>
              <w:rPr>
                <w:rFonts w:ascii="宋体" w:hAnsi="宋体" w:eastAsia="宋体" w:cs="宋体"/>
                <w:sz w:val="24"/>
                <w:szCs w:val="24"/>
              </w:rPr>
              <w:t>Neutron服务</w:t>
            </w:r>
          </w:p>
        </w:tc>
        <w:tc>
          <w:tcPr>
            <w:tcW w:w="2200" w:type="dxa"/>
            <w:vMerge w:val="restart"/>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vAlign w:val="center"/>
          </w:tcPr>
          <w:p w14:paraId="6F22274B">
            <w:pPr>
              <w:spacing w:before="0" w:after="0"/>
            </w:pPr>
            <w:r>
              <w:rPr>
                <w:rFonts w:ascii="宋体" w:hAnsi="宋体" w:eastAsia="宋体" w:cs="宋体"/>
                <w:sz w:val="24"/>
                <w:szCs w:val="24"/>
              </w:rPr>
              <w:t>K1、K2、K3、K4、S1、S2、S3、A1、A2、A3、A4、A5</w:t>
            </w:r>
          </w:p>
        </w:tc>
      </w:tr>
      <w:tr w14:paraId="71458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vMerge w:val="continue"/>
            <w:tcBorders>
              <w:top w:val="single" w:color="000000" w:sz="4" w:space="0"/>
              <w:left w:val="single" w:color="000000" w:sz="4" w:space="0"/>
              <w:bottom w:val="single" w:color="000000" w:sz="4" w:space="0"/>
              <w:right w:val="single" w:color="000000" w:sz="4" w:space="0"/>
            </w:tcBorders>
            <w:shd w:val="clear" w:color="000000" w:fill="D9E2F3"/>
            <w:tcMar>
              <w:top w:w="80" w:type="dxa"/>
              <w:left w:w="120" w:type="dxa"/>
              <w:bottom w:w="80" w:type="dxa"/>
              <w:right w:w="120" w:type="dxa"/>
            </w:tcMar>
            <w:vAlign w:val="center"/>
          </w:tcPr>
          <w:p w14:paraId="2489D4D4">
            <w:pPr>
              <w:spacing w:before="0" w:after="0"/>
              <w:jc w:val="center"/>
            </w:pPr>
            <w:r>
              <w:rPr>
                <w:rFonts w:ascii="宋体" w:hAnsi="宋体" w:eastAsia="宋体" w:cs="宋体"/>
                <w:b/>
                <w:bCs/>
                <w:sz w:val="24"/>
                <w:szCs w:val="24"/>
              </w:rPr>
              <w:t>T4</w:t>
            </w:r>
          </w:p>
        </w:tc>
        <w:tc>
          <w:tcPr>
            <w:vMerge w:val="continue"/>
            <w:tcBorders>
              <w:top w:val="single" w:color="000000" w:sz="4" w:space="0"/>
              <w:left w:val="single" w:color="000000" w:sz="4" w:space="0"/>
              <w:bottom w:val="single" w:color="000000" w:sz="4" w:space="0"/>
              <w:right w:val="single" w:color="000000" w:sz="4" w:space="0"/>
            </w:tcBorders>
            <w:shd w:val="clear" w:color="000000" w:fill="D9E2F3"/>
            <w:tcMar>
              <w:top w:w="80" w:type="dxa"/>
              <w:left w:w="120" w:type="dxa"/>
              <w:bottom w:w="80" w:type="dxa"/>
              <w:right w:w="120" w:type="dxa"/>
            </w:tcMar>
            <w:vAlign w:val="center"/>
          </w:tcPr>
          <w:p w14:paraId="24D75E50">
            <w:pPr>
              <w:spacing w:before="0" w:after="0"/>
              <w:jc w:val="center"/>
            </w:pPr>
            <w:r>
              <w:rPr>
                <w:rFonts w:ascii="宋体" w:hAnsi="宋体" w:eastAsia="宋体" w:cs="宋体"/>
                <w:b/>
                <w:bCs/>
                <w:sz w:val="24"/>
                <w:szCs w:val="24"/>
              </w:rPr>
              <w:t>OpenStack中的网络服务运维</w:t>
            </w:r>
          </w:p>
        </w:tc>
        <w:tc>
          <w:tcPr>
            <w:tcW w:w="16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vAlign w:val="center"/>
          </w:tcPr>
          <w:p w14:paraId="2CD97A5B">
            <w:pPr>
              <w:spacing w:before="0" w:after="0"/>
              <w:jc w:val="center"/>
            </w:pPr>
            <w:r>
              <w:rPr>
                <w:rFonts w:ascii="宋体" w:hAnsi="宋体" w:eastAsia="宋体" w:cs="宋体"/>
                <w:b/>
                <w:bCs/>
                <w:sz w:val="24"/>
                <w:szCs w:val="24"/>
              </w:rPr>
              <w:t>T4-2</w:t>
            </w:r>
          </w:p>
        </w:tc>
        <w:tc>
          <w:tcPr>
            <w:tcW w:w="20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vAlign w:val="center"/>
          </w:tcPr>
          <w:p w14:paraId="7F14E78E">
            <w:pPr>
              <w:spacing w:before="0" w:after="0"/>
            </w:pPr>
            <w:r>
              <w:rPr>
                <w:rFonts w:ascii="宋体" w:hAnsi="宋体" w:eastAsia="宋体" w:cs="宋体"/>
                <w:sz w:val="24"/>
                <w:szCs w:val="24"/>
              </w:rPr>
              <w:t>Neutron网络服务的使用和运维</w:t>
            </w:r>
          </w:p>
        </w:tc>
        <w:tc>
          <w:tcPr>
            <w:tcW w:w="2200" w:type="dxa"/>
            <w:vMerge w:val="continue"/>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vAlign w:val="center"/>
          </w:tcPr>
          <w:p w14:paraId="7A38013C">
            <w:pPr>
              <w:spacing w:before="0" w:after="0"/>
            </w:pPr>
            <w:r>
              <w:rPr>
                <w:rFonts w:ascii="宋体" w:hAnsi="宋体" w:eastAsia="宋体" w:cs="宋体"/>
                <w:sz w:val="24"/>
                <w:szCs w:val="24"/>
              </w:rPr>
              <w:t>K1、K2、K3、K4、S1、S2、S3、A1、A2、A3、A4、A5</w:t>
            </w:r>
          </w:p>
        </w:tc>
      </w:tr>
      <w:tr w14:paraId="597D0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vMerge w:val="restart"/>
            <w:tcBorders>
              <w:top w:val="single" w:color="000000" w:sz="4" w:space="0"/>
              <w:left w:val="single" w:color="000000" w:sz="4" w:space="0"/>
              <w:bottom w:val="single" w:color="000000" w:sz="4" w:space="0"/>
              <w:right w:val="single" w:color="000000" w:sz="4" w:space="0"/>
            </w:tcBorders>
            <w:shd w:val="clear" w:color="000000" w:fill="D9E2F3"/>
            <w:tcMar>
              <w:top w:w="80" w:type="dxa"/>
              <w:left w:w="120" w:type="dxa"/>
              <w:bottom w:w="80" w:type="dxa"/>
              <w:right w:w="120" w:type="dxa"/>
            </w:tcMar>
            <w:vAlign w:val="center"/>
          </w:tcPr>
          <w:p w14:paraId="36A8C4EF">
            <w:pPr>
              <w:spacing w:before="0" w:after="0"/>
              <w:jc w:val="center"/>
            </w:pPr>
            <w:r>
              <w:rPr>
                <w:rFonts w:ascii="宋体" w:hAnsi="宋体" w:eastAsia="宋体" w:cs="宋体"/>
                <w:b/>
                <w:bCs/>
                <w:sz w:val="24"/>
                <w:szCs w:val="24"/>
              </w:rPr>
              <w:t>T5</w:t>
            </w:r>
          </w:p>
        </w:tc>
        <w:tc>
          <w:tcPr>
            <w:vMerge w:val="restart"/>
            <w:tcBorders>
              <w:top w:val="single" w:color="000000" w:sz="4" w:space="0"/>
              <w:left w:val="single" w:color="000000" w:sz="4" w:space="0"/>
              <w:bottom w:val="single" w:color="000000" w:sz="4" w:space="0"/>
              <w:right w:val="single" w:color="000000" w:sz="4" w:space="0"/>
            </w:tcBorders>
            <w:shd w:val="clear" w:color="000000" w:fill="D9E2F3"/>
            <w:tcMar>
              <w:top w:w="80" w:type="dxa"/>
              <w:left w:w="120" w:type="dxa"/>
              <w:bottom w:w="80" w:type="dxa"/>
              <w:right w:w="120" w:type="dxa"/>
            </w:tcMar>
            <w:vAlign w:val="center"/>
          </w:tcPr>
          <w:p w14:paraId="655F6318">
            <w:pPr>
              <w:spacing w:before="0" w:after="0"/>
              <w:jc w:val="center"/>
            </w:pPr>
            <w:r>
              <w:rPr>
                <w:rFonts w:ascii="宋体" w:hAnsi="宋体" w:eastAsia="宋体" w:cs="宋体"/>
                <w:b/>
                <w:bCs/>
                <w:sz w:val="24"/>
                <w:szCs w:val="24"/>
              </w:rPr>
              <w:t>OpenStack中的计算服务运维</w:t>
            </w:r>
          </w:p>
        </w:tc>
        <w:tc>
          <w:tcPr>
            <w:tcW w:w="16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vAlign w:val="center"/>
          </w:tcPr>
          <w:p w14:paraId="5E720960">
            <w:pPr>
              <w:spacing w:before="0" w:after="0"/>
              <w:jc w:val="center"/>
            </w:pPr>
            <w:r>
              <w:rPr>
                <w:rFonts w:ascii="宋体" w:hAnsi="宋体" w:eastAsia="宋体" w:cs="宋体"/>
                <w:b/>
                <w:bCs/>
                <w:sz w:val="24"/>
                <w:szCs w:val="24"/>
              </w:rPr>
              <w:t>T5-1</w:t>
            </w:r>
          </w:p>
        </w:tc>
        <w:tc>
          <w:tcPr>
            <w:tcW w:w="20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vAlign w:val="center"/>
          </w:tcPr>
          <w:p w14:paraId="5C375D3A">
            <w:pPr>
              <w:spacing w:before="0" w:after="0"/>
            </w:pPr>
            <w:r>
              <w:rPr>
                <w:rFonts w:ascii="宋体" w:hAnsi="宋体" w:eastAsia="宋体" w:cs="宋体"/>
                <w:sz w:val="24"/>
                <w:szCs w:val="24"/>
              </w:rPr>
              <w:t>Nova计算服务</w:t>
            </w:r>
          </w:p>
        </w:tc>
        <w:tc>
          <w:tcPr>
            <w:tcW w:w="2200" w:type="dxa"/>
            <w:vMerge w:val="restart"/>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vAlign w:val="center"/>
          </w:tcPr>
          <w:p w14:paraId="72FB1540">
            <w:pPr>
              <w:spacing w:before="0" w:after="0"/>
            </w:pPr>
            <w:r>
              <w:rPr>
                <w:rFonts w:ascii="宋体" w:hAnsi="宋体" w:eastAsia="宋体" w:cs="宋体"/>
                <w:sz w:val="24"/>
                <w:szCs w:val="24"/>
              </w:rPr>
              <w:t>K1、K2、K3、K4、K5、S1、S2、S3、S4、A1、A2、A3、A4、A5</w:t>
            </w:r>
          </w:p>
        </w:tc>
      </w:tr>
      <w:tr w14:paraId="23C9E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vMerge w:val="continue"/>
            <w:tcBorders>
              <w:top w:val="single" w:color="000000" w:sz="4" w:space="0"/>
              <w:left w:val="single" w:color="000000" w:sz="4" w:space="0"/>
              <w:bottom w:val="single" w:color="000000" w:sz="4" w:space="0"/>
              <w:right w:val="single" w:color="000000" w:sz="4" w:space="0"/>
            </w:tcBorders>
            <w:shd w:val="clear" w:color="000000" w:fill="D9E2F3"/>
            <w:tcMar>
              <w:top w:w="80" w:type="dxa"/>
              <w:left w:w="120" w:type="dxa"/>
              <w:bottom w:w="80" w:type="dxa"/>
              <w:right w:w="120" w:type="dxa"/>
            </w:tcMar>
            <w:vAlign w:val="center"/>
          </w:tcPr>
          <w:p w14:paraId="37987BAD">
            <w:pPr>
              <w:spacing w:before="0" w:after="0"/>
              <w:jc w:val="center"/>
            </w:pPr>
            <w:r>
              <w:rPr>
                <w:rFonts w:ascii="宋体" w:hAnsi="宋体" w:eastAsia="宋体" w:cs="宋体"/>
                <w:b/>
                <w:bCs/>
                <w:sz w:val="24"/>
                <w:szCs w:val="24"/>
              </w:rPr>
              <w:t>T5</w:t>
            </w:r>
          </w:p>
        </w:tc>
        <w:tc>
          <w:tcPr>
            <w:vMerge w:val="continue"/>
            <w:tcBorders>
              <w:top w:val="single" w:color="000000" w:sz="4" w:space="0"/>
              <w:left w:val="single" w:color="000000" w:sz="4" w:space="0"/>
              <w:bottom w:val="single" w:color="000000" w:sz="4" w:space="0"/>
              <w:right w:val="single" w:color="000000" w:sz="4" w:space="0"/>
            </w:tcBorders>
            <w:shd w:val="clear" w:color="000000" w:fill="D9E2F3"/>
            <w:tcMar>
              <w:top w:w="80" w:type="dxa"/>
              <w:left w:w="120" w:type="dxa"/>
              <w:bottom w:w="80" w:type="dxa"/>
              <w:right w:w="120" w:type="dxa"/>
            </w:tcMar>
            <w:vAlign w:val="center"/>
          </w:tcPr>
          <w:p w14:paraId="090776B1">
            <w:pPr>
              <w:spacing w:before="0" w:after="0"/>
              <w:jc w:val="center"/>
            </w:pPr>
            <w:r>
              <w:rPr>
                <w:rFonts w:ascii="宋体" w:hAnsi="宋体" w:eastAsia="宋体" w:cs="宋体"/>
                <w:b/>
                <w:bCs/>
                <w:sz w:val="24"/>
                <w:szCs w:val="24"/>
              </w:rPr>
              <w:t>OpenStack中的计算服务运维</w:t>
            </w:r>
          </w:p>
        </w:tc>
        <w:tc>
          <w:tcPr>
            <w:tcW w:w="16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vAlign w:val="center"/>
          </w:tcPr>
          <w:p w14:paraId="774AC5EC">
            <w:pPr>
              <w:spacing w:before="0" w:after="0"/>
              <w:jc w:val="center"/>
            </w:pPr>
            <w:r>
              <w:rPr>
                <w:rFonts w:ascii="宋体" w:hAnsi="宋体" w:eastAsia="宋体" w:cs="宋体"/>
                <w:b/>
                <w:bCs/>
                <w:sz w:val="24"/>
                <w:szCs w:val="24"/>
              </w:rPr>
              <w:t>T5-2</w:t>
            </w:r>
          </w:p>
        </w:tc>
        <w:tc>
          <w:tcPr>
            <w:tcW w:w="20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vAlign w:val="center"/>
          </w:tcPr>
          <w:p w14:paraId="26DC2BBA">
            <w:pPr>
              <w:spacing w:before="0" w:after="0"/>
            </w:pPr>
            <w:r>
              <w:rPr>
                <w:rFonts w:ascii="宋体" w:hAnsi="宋体" w:eastAsia="宋体" w:cs="宋体"/>
                <w:sz w:val="24"/>
                <w:szCs w:val="24"/>
              </w:rPr>
              <w:t>Nova计算服务的使用和运维</w:t>
            </w:r>
          </w:p>
        </w:tc>
        <w:tc>
          <w:tcPr>
            <w:tcW w:w="2200" w:type="dxa"/>
            <w:vMerge w:val="continue"/>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vAlign w:val="center"/>
          </w:tcPr>
          <w:p w14:paraId="40A0BD9A">
            <w:pPr>
              <w:spacing w:before="0" w:after="0"/>
            </w:pPr>
            <w:r>
              <w:rPr>
                <w:rFonts w:ascii="宋体" w:hAnsi="宋体" w:eastAsia="宋体" w:cs="宋体"/>
                <w:sz w:val="24"/>
                <w:szCs w:val="24"/>
              </w:rPr>
              <w:t>K1、K2、K3、K4、K5、S1、S2、S3、S4、A1、A2、A3、A4、A5</w:t>
            </w:r>
          </w:p>
        </w:tc>
      </w:tr>
      <w:tr w14:paraId="295E4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vMerge w:val="restart"/>
            <w:tcBorders>
              <w:top w:val="single" w:color="000000" w:sz="4" w:space="0"/>
              <w:left w:val="single" w:color="000000" w:sz="4" w:space="0"/>
              <w:bottom w:val="single" w:color="000000" w:sz="4" w:space="0"/>
              <w:right w:val="single" w:color="000000" w:sz="4" w:space="0"/>
            </w:tcBorders>
            <w:shd w:val="clear" w:color="000000" w:fill="D9E2F3"/>
            <w:tcMar>
              <w:top w:w="80" w:type="dxa"/>
              <w:left w:w="120" w:type="dxa"/>
              <w:bottom w:w="80" w:type="dxa"/>
              <w:right w:w="120" w:type="dxa"/>
            </w:tcMar>
            <w:vAlign w:val="center"/>
          </w:tcPr>
          <w:p w14:paraId="4B9CBCC9">
            <w:pPr>
              <w:spacing w:before="0" w:after="0"/>
              <w:jc w:val="center"/>
            </w:pPr>
            <w:r>
              <w:rPr>
                <w:rFonts w:ascii="宋体" w:hAnsi="宋体" w:eastAsia="宋体" w:cs="宋体"/>
                <w:b/>
                <w:bCs/>
                <w:sz w:val="24"/>
                <w:szCs w:val="24"/>
              </w:rPr>
              <w:t>T6</w:t>
            </w:r>
          </w:p>
        </w:tc>
        <w:tc>
          <w:tcPr>
            <w:vMerge w:val="restart"/>
            <w:tcBorders>
              <w:top w:val="single" w:color="000000" w:sz="4" w:space="0"/>
              <w:left w:val="single" w:color="000000" w:sz="4" w:space="0"/>
              <w:bottom w:val="single" w:color="000000" w:sz="4" w:space="0"/>
              <w:right w:val="single" w:color="000000" w:sz="4" w:space="0"/>
            </w:tcBorders>
            <w:shd w:val="clear" w:color="000000" w:fill="D9E2F3"/>
            <w:tcMar>
              <w:top w:w="80" w:type="dxa"/>
              <w:left w:w="120" w:type="dxa"/>
              <w:bottom w:w="80" w:type="dxa"/>
              <w:right w:w="120" w:type="dxa"/>
            </w:tcMar>
            <w:vAlign w:val="center"/>
          </w:tcPr>
          <w:p w14:paraId="39DD822A">
            <w:pPr>
              <w:spacing w:before="0" w:after="0"/>
              <w:jc w:val="center"/>
            </w:pPr>
            <w:r>
              <w:rPr>
                <w:rFonts w:ascii="宋体" w:hAnsi="宋体" w:eastAsia="宋体" w:cs="宋体"/>
                <w:b/>
                <w:bCs/>
                <w:sz w:val="24"/>
                <w:szCs w:val="24"/>
              </w:rPr>
              <w:t>OpenStack中的存储服务运维</w:t>
            </w:r>
          </w:p>
        </w:tc>
        <w:tc>
          <w:tcPr>
            <w:tcW w:w="16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vAlign w:val="center"/>
          </w:tcPr>
          <w:p w14:paraId="507BDD48">
            <w:pPr>
              <w:spacing w:before="0" w:after="0"/>
              <w:jc w:val="center"/>
            </w:pPr>
            <w:r>
              <w:rPr>
                <w:rFonts w:ascii="宋体" w:hAnsi="宋体" w:eastAsia="宋体" w:cs="宋体"/>
                <w:b/>
                <w:bCs/>
                <w:sz w:val="24"/>
                <w:szCs w:val="24"/>
              </w:rPr>
              <w:t>T6-1</w:t>
            </w:r>
          </w:p>
        </w:tc>
        <w:tc>
          <w:tcPr>
            <w:tcW w:w="20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vAlign w:val="center"/>
          </w:tcPr>
          <w:p w14:paraId="5C55B514">
            <w:pPr>
              <w:spacing w:before="0" w:after="0"/>
            </w:pPr>
            <w:r>
              <w:rPr>
                <w:rFonts w:ascii="宋体" w:hAnsi="宋体" w:eastAsia="宋体" w:cs="宋体"/>
                <w:sz w:val="24"/>
                <w:szCs w:val="24"/>
              </w:rPr>
              <w:t>云平台中的存储服务</w:t>
            </w:r>
          </w:p>
        </w:tc>
        <w:tc>
          <w:tcPr>
            <w:tcW w:w="2200" w:type="dxa"/>
            <w:vMerge w:val="restart"/>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vAlign w:val="center"/>
          </w:tcPr>
          <w:p w14:paraId="193FFD40">
            <w:pPr>
              <w:spacing w:before="0" w:after="0"/>
            </w:pPr>
            <w:r>
              <w:rPr>
                <w:rFonts w:ascii="宋体" w:hAnsi="宋体" w:eastAsia="宋体" w:cs="宋体"/>
                <w:sz w:val="24"/>
                <w:szCs w:val="24"/>
              </w:rPr>
              <w:t>K1、K2、K3、K4、K5、K6、S1、S2、S3、S4、S5、A1、A2、A3、A4、A5</w:t>
            </w:r>
          </w:p>
        </w:tc>
      </w:tr>
      <w:tr w14:paraId="0FCD0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vMerge w:val="continue"/>
            <w:tcBorders>
              <w:top w:val="single" w:color="000000" w:sz="4" w:space="0"/>
              <w:left w:val="single" w:color="000000" w:sz="4" w:space="0"/>
              <w:bottom w:val="single" w:color="000000" w:sz="4" w:space="0"/>
              <w:right w:val="single" w:color="000000" w:sz="4" w:space="0"/>
            </w:tcBorders>
            <w:shd w:val="clear" w:color="000000" w:fill="D9E2F3"/>
            <w:tcMar>
              <w:top w:w="80" w:type="dxa"/>
              <w:left w:w="120" w:type="dxa"/>
              <w:bottom w:w="80" w:type="dxa"/>
              <w:right w:w="120" w:type="dxa"/>
            </w:tcMar>
            <w:vAlign w:val="center"/>
          </w:tcPr>
          <w:p w14:paraId="42F5C6B7">
            <w:pPr>
              <w:spacing w:before="0" w:after="0"/>
              <w:jc w:val="center"/>
            </w:pPr>
            <w:r>
              <w:rPr>
                <w:rFonts w:ascii="宋体" w:hAnsi="宋体" w:eastAsia="宋体" w:cs="宋体"/>
                <w:b/>
                <w:bCs/>
                <w:sz w:val="24"/>
                <w:szCs w:val="24"/>
              </w:rPr>
              <w:t>T6</w:t>
            </w:r>
          </w:p>
        </w:tc>
        <w:tc>
          <w:tcPr>
            <w:vMerge w:val="continue"/>
            <w:tcBorders>
              <w:top w:val="single" w:color="000000" w:sz="4" w:space="0"/>
              <w:left w:val="single" w:color="000000" w:sz="4" w:space="0"/>
              <w:bottom w:val="single" w:color="000000" w:sz="4" w:space="0"/>
              <w:right w:val="single" w:color="000000" w:sz="4" w:space="0"/>
            </w:tcBorders>
            <w:shd w:val="clear" w:color="000000" w:fill="D9E2F3"/>
            <w:tcMar>
              <w:top w:w="80" w:type="dxa"/>
              <w:left w:w="120" w:type="dxa"/>
              <w:bottom w:w="80" w:type="dxa"/>
              <w:right w:w="120" w:type="dxa"/>
            </w:tcMar>
            <w:vAlign w:val="center"/>
          </w:tcPr>
          <w:p w14:paraId="4D6592AB">
            <w:pPr>
              <w:spacing w:before="0" w:after="0"/>
              <w:jc w:val="center"/>
            </w:pPr>
            <w:r>
              <w:rPr>
                <w:rFonts w:ascii="宋体" w:hAnsi="宋体" w:eastAsia="宋体" w:cs="宋体"/>
                <w:b/>
                <w:bCs/>
                <w:sz w:val="24"/>
                <w:szCs w:val="24"/>
              </w:rPr>
              <w:t>OpenStack中的存储服务运维</w:t>
            </w:r>
          </w:p>
        </w:tc>
        <w:tc>
          <w:tcPr>
            <w:tcW w:w="16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vAlign w:val="center"/>
          </w:tcPr>
          <w:p w14:paraId="6D2E5CCB">
            <w:pPr>
              <w:spacing w:before="0" w:after="0"/>
              <w:jc w:val="center"/>
            </w:pPr>
            <w:r>
              <w:rPr>
                <w:rFonts w:ascii="宋体" w:hAnsi="宋体" w:eastAsia="宋体" w:cs="宋体"/>
                <w:b/>
                <w:bCs/>
                <w:sz w:val="24"/>
                <w:szCs w:val="24"/>
              </w:rPr>
              <w:t>T6-2</w:t>
            </w:r>
          </w:p>
        </w:tc>
        <w:tc>
          <w:tcPr>
            <w:tcW w:w="20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vAlign w:val="center"/>
          </w:tcPr>
          <w:p w14:paraId="6F449C13">
            <w:pPr>
              <w:spacing w:before="0" w:after="0"/>
            </w:pPr>
            <w:r>
              <w:rPr>
                <w:rFonts w:ascii="宋体" w:hAnsi="宋体" w:eastAsia="宋体" w:cs="宋体"/>
                <w:sz w:val="24"/>
                <w:szCs w:val="24"/>
              </w:rPr>
              <w:t>Cinder块存储服务的使用和运维</w:t>
            </w:r>
          </w:p>
        </w:tc>
        <w:tc>
          <w:tcPr>
            <w:tcW w:w="2200" w:type="dxa"/>
            <w:vMerge w:val="continue"/>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vAlign w:val="center"/>
          </w:tcPr>
          <w:p w14:paraId="12CA00E5">
            <w:pPr>
              <w:spacing w:before="0" w:after="0"/>
            </w:pPr>
            <w:r>
              <w:rPr>
                <w:rFonts w:ascii="宋体" w:hAnsi="宋体" w:eastAsia="宋体" w:cs="宋体"/>
                <w:sz w:val="24"/>
                <w:szCs w:val="24"/>
              </w:rPr>
              <w:t>K1、K2、K3、K4、K5、K6、S1、S2、S3、S4、S5、A1、A2、A3、A4、A5</w:t>
            </w:r>
          </w:p>
        </w:tc>
      </w:tr>
      <w:tr w14:paraId="19E7D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vMerge w:val="continue"/>
            <w:tcBorders>
              <w:top w:val="single" w:color="000000" w:sz="4" w:space="0"/>
              <w:left w:val="single" w:color="000000" w:sz="4" w:space="0"/>
              <w:bottom w:val="single" w:color="000000" w:sz="4" w:space="0"/>
              <w:right w:val="single" w:color="000000" w:sz="4" w:space="0"/>
            </w:tcBorders>
            <w:shd w:val="clear" w:color="000000" w:fill="D9E2F3"/>
            <w:tcMar>
              <w:top w:w="80" w:type="dxa"/>
              <w:left w:w="120" w:type="dxa"/>
              <w:bottom w:w="80" w:type="dxa"/>
              <w:right w:w="120" w:type="dxa"/>
            </w:tcMar>
            <w:vAlign w:val="center"/>
          </w:tcPr>
          <w:p w14:paraId="6BD7B8B9">
            <w:pPr>
              <w:spacing w:before="0" w:after="0"/>
              <w:jc w:val="center"/>
            </w:pPr>
            <w:r>
              <w:rPr>
                <w:rFonts w:ascii="宋体" w:hAnsi="宋体" w:eastAsia="宋体" w:cs="宋体"/>
                <w:b/>
                <w:bCs/>
                <w:sz w:val="24"/>
                <w:szCs w:val="24"/>
              </w:rPr>
              <w:t>T6</w:t>
            </w:r>
          </w:p>
        </w:tc>
        <w:tc>
          <w:tcPr>
            <w:vMerge w:val="continue"/>
            <w:tcBorders>
              <w:top w:val="single" w:color="000000" w:sz="4" w:space="0"/>
              <w:left w:val="single" w:color="000000" w:sz="4" w:space="0"/>
              <w:bottom w:val="single" w:color="000000" w:sz="4" w:space="0"/>
              <w:right w:val="single" w:color="000000" w:sz="4" w:space="0"/>
            </w:tcBorders>
            <w:shd w:val="clear" w:color="000000" w:fill="D9E2F3"/>
            <w:tcMar>
              <w:top w:w="80" w:type="dxa"/>
              <w:left w:w="120" w:type="dxa"/>
              <w:bottom w:w="80" w:type="dxa"/>
              <w:right w:w="120" w:type="dxa"/>
            </w:tcMar>
            <w:vAlign w:val="center"/>
          </w:tcPr>
          <w:p w14:paraId="4201CD53">
            <w:pPr>
              <w:spacing w:before="0" w:after="0"/>
              <w:jc w:val="center"/>
            </w:pPr>
            <w:r>
              <w:rPr>
                <w:rFonts w:ascii="宋体" w:hAnsi="宋体" w:eastAsia="宋体" w:cs="宋体"/>
                <w:b/>
                <w:bCs/>
                <w:sz w:val="24"/>
                <w:szCs w:val="24"/>
              </w:rPr>
              <w:t>OpenStack中的存储服务运维</w:t>
            </w:r>
          </w:p>
        </w:tc>
        <w:tc>
          <w:tcPr>
            <w:tcW w:w="16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vAlign w:val="center"/>
          </w:tcPr>
          <w:p w14:paraId="33A6DDBE">
            <w:pPr>
              <w:spacing w:before="0" w:after="0"/>
              <w:jc w:val="center"/>
            </w:pPr>
            <w:r>
              <w:rPr>
                <w:rFonts w:ascii="宋体" w:hAnsi="宋体" w:eastAsia="宋体" w:cs="宋体"/>
                <w:b/>
                <w:bCs/>
                <w:sz w:val="24"/>
                <w:szCs w:val="24"/>
              </w:rPr>
              <w:t>T6-3</w:t>
            </w:r>
          </w:p>
        </w:tc>
        <w:tc>
          <w:tcPr>
            <w:tcW w:w="20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vAlign w:val="center"/>
          </w:tcPr>
          <w:p w14:paraId="1DDBF5F0">
            <w:pPr>
              <w:spacing w:before="0" w:after="0"/>
            </w:pPr>
            <w:r>
              <w:rPr>
                <w:rFonts w:ascii="宋体" w:hAnsi="宋体" w:eastAsia="宋体" w:cs="宋体"/>
                <w:sz w:val="24"/>
                <w:szCs w:val="24"/>
              </w:rPr>
              <w:t>Swift对象存储服务的使用和运维</w:t>
            </w:r>
          </w:p>
        </w:tc>
        <w:tc>
          <w:tcPr>
            <w:tcW w:w="2200" w:type="dxa"/>
            <w:vMerge w:val="continue"/>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vAlign w:val="center"/>
          </w:tcPr>
          <w:p w14:paraId="24B68AFD">
            <w:pPr>
              <w:spacing w:before="0" w:after="0"/>
            </w:pPr>
            <w:r>
              <w:rPr>
                <w:rFonts w:ascii="宋体" w:hAnsi="宋体" w:eastAsia="宋体" w:cs="宋体"/>
                <w:sz w:val="24"/>
                <w:szCs w:val="24"/>
              </w:rPr>
              <w:t>K1、K2、K3、K4、K5、K6、S1、S2、S3、S4、S5、A1、A2、A3、A4、A5</w:t>
            </w:r>
          </w:p>
        </w:tc>
      </w:tr>
    </w:tbl>
    <w:p w14:paraId="36EBEA50">
      <w:pPr>
        <w:pBdr>
          <w:bottom w:val="single" w:color="2E75B6" w:sz="8" w:space="6"/>
        </w:pBdr>
        <w:spacing w:before="480" w:after="240"/>
      </w:pPr>
      <w:r>
        <w:rPr>
          <w:rFonts w:ascii="宋体" w:hAnsi="宋体" w:eastAsia="宋体" w:cs="宋体"/>
          <w:b/>
          <w:bCs/>
          <w:color w:val="1F3864"/>
          <w:sz w:val="36"/>
          <w:szCs w:val="36"/>
        </w:rPr>
        <w:t>六、实施建议</w:t>
      </w:r>
    </w:p>
    <w:p w14:paraId="2254168B">
      <w:pPr>
        <w:spacing w:before="240" w:after="120"/>
        <w:ind w:left="240"/>
      </w:pPr>
      <w:r>
        <w:rPr>
          <w:rFonts w:ascii="宋体" w:hAnsi="宋体" w:eastAsia="宋体" w:cs="宋体"/>
          <w:color w:val="2E75B6"/>
          <w:sz w:val="28"/>
          <w:szCs w:val="28"/>
        </w:rPr>
        <w:t>▎</w:t>
      </w:r>
      <w:r>
        <w:rPr>
          <w:rFonts w:ascii="宋体" w:hAnsi="宋体" w:eastAsia="宋体" w:cs="宋体"/>
          <w:sz w:val="12"/>
          <w:szCs w:val="12"/>
        </w:rPr>
        <w:t>　</w:t>
      </w:r>
      <w:r>
        <w:rPr>
          <w:rFonts w:ascii="宋体" w:hAnsi="宋体" w:eastAsia="宋体" w:cs="宋体"/>
          <w:b/>
          <w:bCs/>
          <w:color w:val="2E75B6"/>
          <w:sz w:val="28"/>
          <w:szCs w:val="28"/>
        </w:rPr>
        <w:t>(一) 组织实施建议</w:t>
      </w:r>
    </w:p>
    <w:p w14:paraId="0B3E9561">
      <w:pPr>
        <w:spacing w:before="60" w:after="60" w:line="360" w:lineRule="auto"/>
        <w:ind w:firstLine="480"/>
        <w:jc w:val="both"/>
      </w:pPr>
      <w:r>
        <w:rPr>
          <w:rFonts w:ascii="宋体" w:hAnsi="宋体" w:eastAsia="宋体" w:cs="宋体"/>
          <w:sz w:val="24"/>
          <w:szCs w:val="24"/>
        </w:rPr>
        <w:t>以工作过程为导向采用项目教学法或翻转课堂教学法进行教学，让学生能在项目中学习，激发学生的学习兴趣，并有效地调动学生的学习积极性。具体方法如下： 1、可以将“教、学、做”融为一体。 ①案例引入，提出问题。 通过案例演示，提出问题，给出知识点，讲解案例应用背景，给学生一个切入点，建立感性认识。目的是激发学生的学习兴趣、让学生感到学有所用，从而明确本次课的教学目标。  ②学生自主学习，尝试解决问题。 引导学生自主学习，找到解决问题的方法和操作技能，培养学生的自主学习意识和学习方法。学生在学习和尝试解决问题过程中，发现问题，提出问题，在问题的引导下学习相关的知识和操作技能。  ③归纳总结，引申提高。 在每次课结束前，引导学生进行归纳总结。对本次课的实际意义、重点、难点、容易出错处等及时进行总结。并针对案例的不足之处，进行引申和提高。注意在这个阶段，强调的是“引导”学生，而不是老师讲解。  ④举一反三、学以致用。 为了使学生能学以致用、举一反三、触类旁通，每次教学结束时及时布置相关的课后练习，使学生在课后进一步复习巩固，并且将课后作业纳入形成性考核的内容之一。同时给出下一次课的学习内容，提示学生预习。 2、充分利用现代化教学手段，提高教学效果 教学中采用电子演示文稿、大屏幕多媒体联机演示、网络教学等各种先进的教学手段，使课堂教学生动活泼、引人入胜，提高了教学效果，同时提高了教学效率。 3、构建学习资源平台 教师可将该课程的教学大纲、教案、习题、实验指导、参考资料、教学录像等内容全部上网，并向学生免费开放，通过网络化的教学方式（网络课件、网上答疑、网上提交作业、视频点播），学生可以在课外自主学习，以强化、巩固和拓展教学内容。</w:t>
      </w:r>
    </w:p>
    <w:p w14:paraId="2B979206">
      <w:pPr>
        <w:spacing w:before="240" w:after="120"/>
        <w:ind w:left="240"/>
      </w:pPr>
      <w:r>
        <w:rPr>
          <w:rFonts w:ascii="宋体" w:hAnsi="宋体" w:eastAsia="宋体" w:cs="宋体"/>
          <w:color w:val="2E75B6"/>
          <w:sz w:val="28"/>
          <w:szCs w:val="28"/>
        </w:rPr>
        <w:t>▎</w:t>
      </w:r>
      <w:r>
        <w:rPr>
          <w:rFonts w:ascii="宋体" w:hAnsi="宋体" w:eastAsia="宋体" w:cs="宋体"/>
          <w:sz w:val="12"/>
          <w:szCs w:val="12"/>
        </w:rPr>
        <w:t>　</w:t>
      </w:r>
      <w:r>
        <w:rPr>
          <w:rFonts w:ascii="宋体" w:hAnsi="宋体" w:eastAsia="宋体" w:cs="宋体"/>
          <w:b/>
          <w:bCs/>
          <w:color w:val="2E75B6"/>
          <w:sz w:val="28"/>
          <w:szCs w:val="28"/>
        </w:rPr>
        <w:t>(二) 教材编写建议</w:t>
      </w:r>
    </w:p>
    <w:p w14:paraId="3A7696E9">
      <w:pPr>
        <w:spacing w:before="60" w:after="60" w:line="360" w:lineRule="auto"/>
        <w:ind w:firstLine="480"/>
        <w:jc w:val="both"/>
      </w:pPr>
      <w:r>
        <w:rPr>
          <w:rFonts w:ascii="宋体" w:hAnsi="宋体" w:eastAsia="宋体" w:cs="宋体"/>
          <w:sz w:val="24"/>
          <w:szCs w:val="24"/>
        </w:rPr>
        <w:t xml:space="preserve">1、教材编写要以能力训练为主线编写，注重教材与实际的衔接。 2、教材应体现职业教育特点和现代意识，关注计算机发展、网络更新。 3、教材要增大案例比例，以案例教学增强学生对知识点的理解和对技能的掌握。 4、教材应附和职业技术类院校学生参差不齐的发展特点，适应学生的认知水平，密切联系学生的经验世界和想象世界，有助于激发学生的学习兴趣和创新精神。  5、教材案例要具有典范性，风格丰富多样，难易适度，适合学生学习。 </w:t>
      </w:r>
    </w:p>
    <w:p w14:paraId="2B52BB03">
      <w:pPr>
        <w:spacing w:before="240" w:after="120"/>
        <w:ind w:left="240"/>
      </w:pPr>
      <w:r>
        <w:rPr>
          <w:rFonts w:ascii="宋体" w:hAnsi="宋体" w:eastAsia="宋体" w:cs="宋体"/>
          <w:color w:val="2E75B6"/>
          <w:sz w:val="28"/>
          <w:szCs w:val="28"/>
        </w:rPr>
        <w:t>▎</w:t>
      </w:r>
      <w:r>
        <w:rPr>
          <w:rFonts w:ascii="宋体" w:hAnsi="宋体" w:eastAsia="宋体" w:cs="宋体"/>
          <w:sz w:val="12"/>
          <w:szCs w:val="12"/>
        </w:rPr>
        <w:t>　</w:t>
      </w:r>
      <w:r>
        <w:rPr>
          <w:rFonts w:ascii="宋体" w:hAnsi="宋体" w:eastAsia="宋体" w:cs="宋体"/>
          <w:b/>
          <w:bCs/>
          <w:color w:val="2E75B6"/>
          <w:sz w:val="28"/>
          <w:szCs w:val="28"/>
        </w:rPr>
        <w:t>(三) 实验实训设备配置建议</w:t>
      </w:r>
    </w:p>
    <w:p w14:paraId="6BD4FD93">
      <w:pPr>
        <w:spacing w:before="60" w:after="60" w:line="360" w:lineRule="auto"/>
        <w:ind w:firstLine="480"/>
        <w:jc w:val="both"/>
      </w:pPr>
      <w:r>
        <w:rPr>
          <w:rFonts w:ascii="宋体" w:hAnsi="宋体" w:eastAsia="宋体" w:cs="宋体"/>
          <w:sz w:val="24"/>
          <w:szCs w:val="24"/>
        </w:rPr>
        <w:t>本课程要求在理论实践一体化教室（多媒体教室）完成，以实现“教、学、做”合一，硬件配置符合最新操作系统的建议配置，同时实验用计算机的操作系统尽可能和微软同步。实验计算机还要求安装多媒体教学软件，方便下发教学任务和收集学生课堂实践任务。</w:t>
      </w:r>
    </w:p>
    <w:p w14:paraId="1D183EC9">
      <w:pPr>
        <w:spacing w:before="240" w:after="120"/>
        <w:ind w:left="240"/>
      </w:pPr>
      <w:r>
        <w:rPr>
          <w:rFonts w:ascii="宋体" w:hAnsi="宋体" w:eastAsia="宋体" w:cs="宋体"/>
          <w:color w:val="2E75B6"/>
          <w:sz w:val="28"/>
          <w:szCs w:val="28"/>
        </w:rPr>
        <w:t>▎</w:t>
      </w:r>
      <w:r>
        <w:rPr>
          <w:rFonts w:ascii="宋体" w:hAnsi="宋体" w:eastAsia="宋体" w:cs="宋体"/>
          <w:sz w:val="12"/>
          <w:szCs w:val="12"/>
        </w:rPr>
        <w:t>　</w:t>
      </w:r>
      <w:r>
        <w:rPr>
          <w:rFonts w:ascii="宋体" w:hAnsi="宋体" w:eastAsia="宋体" w:cs="宋体"/>
          <w:b/>
          <w:bCs/>
          <w:color w:val="2E75B6"/>
          <w:sz w:val="28"/>
          <w:szCs w:val="28"/>
        </w:rPr>
        <w:t>(四) 课程资源开发与利用建议</w:t>
      </w:r>
    </w:p>
    <w:p w14:paraId="399C6585">
      <w:pPr>
        <w:spacing w:before="60" w:after="60" w:line="360" w:lineRule="auto"/>
        <w:ind w:firstLine="480"/>
        <w:jc w:val="both"/>
      </w:pPr>
      <w:r>
        <w:rPr>
          <w:rFonts w:ascii="宋体" w:hAnsi="宋体" w:eastAsia="宋体" w:cs="宋体"/>
          <w:sz w:val="24"/>
          <w:szCs w:val="24"/>
        </w:rPr>
        <w:t>教师可以利用校内共享课程资源平台，开发《私有云基础架构与运维》课程的共享资源，向学生提供优质学习资源。 参考教材: 《私有云基础架构与运维》    电子工业出版社</w:t>
      </w:r>
    </w:p>
    <w:p w14:paraId="44DE6550">
      <w:pPr>
        <w:spacing w:before="240" w:after="120"/>
        <w:ind w:left="240"/>
      </w:pPr>
      <w:r>
        <w:rPr>
          <w:rFonts w:ascii="宋体" w:hAnsi="宋体" w:eastAsia="宋体" w:cs="宋体"/>
          <w:color w:val="2E75B6"/>
          <w:sz w:val="28"/>
          <w:szCs w:val="28"/>
        </w:rPr>
        <w:t>▎</w:t>
      </w:r>
      <w:r>
        <w:rPr>
          <w:rFonts w:ascii="宋体" w:hAnsi="宋体" w:eastAsia="宋体" w:cs="宋体"/>
          <w:sz w:val="12"/>
          <w:szCs w:val="12"/>
        </w:rPr>
        <w:t>　</w:t>
      </w:r>
      <w:r>
        <w:rPr>
          <w:rFonts w:ascii="宋体" w:hAnsi="宋体" w:eastAsia="宋体" w:cs="宋体"/>
          <w:b/>
          <w:bCs/>
          <w:color w:val="2E75B6"/>
          <w:sz w:val="28"/>
          <w:szCs w:val="28"/>
        </w:rPr>
        <w:t>(五) 教师要求</w:t>
      </w:r>
    </w:p>
    <w:p w14:paraId="62B87291">
      <w:pPr>
        <w:spacing w:before="60" w:after="60" w:line="360" w:lineRule="auto"/>
        <w:ind w:firstLine="480"/>
        <w:jc w:val="both"/>
      </w:pPr>
      <w:r>
        <w:rPr>
          <w:rFonts w:ascii="宋体" w:hAnsi="宋体" w:eastAsia="宋体" w:cs="宋体"/>
          <w:sz w:val="24"/>
          <w:szCs w:val="24"/>
        </w:rPr>
        <w:t xml:space="preserve">必须具备双师素质，有一定的开发经验，对代码规范性有较好的理解。 在教学组织能力方面，本课程的主讲教师具备基本的设计能力，即根据本课程标准制订详细的课程授课计划，对每一堂课的教学过程精心设计，做出详细、具体的安排；还应该具备较强的施教能力，即掌握扎实的教学基本功并能够因材施教，在教学过程中还应具备一定的课堂控制能力和应变能力。 </w:t>
      </w:r>
    </w:p>
    <w:p w14:paraId="1B04EFCA">
      <w:pPr>
        <w:spacing w:before="240" w:after="120"/>
        <w:ind w:left="240"/>
      </w:pPr>
      <w:r>
        <w:rPr>
          <w:rFonts w:ascii="宋体" w:hAnsi="宋体" w:eastAsia="宋体" w:cs="宋体"/>
          <w:color w:val="2E75B6"/>
          <w:sz w:val="28"/>
          <w:szCs w:val="28"/>
        </w:rPr>
        <w:t>▎</w:t>
      </w:r>
      <w:r>
        <w:rPr>
          <w:rFonts w:ascii="宋体" w:hAnsi="宋体" w:eastAsia="宋体" w:cs="宋体"/>
          <w:sz w:val="12"/>
          <w:szCs w:val="12"/>
        </w:rPr>
        <w:t>　</w:t>
      </w:r>
      <w:r>
        <w:rPr>
          <w:rFonts w:ascii="宋体" w:hAnsi="宋体" w:eastAsia="宋体" w:cs="宋体"/>
          <w:b/>
          <w:bCs/>
          <w:color w:val="2E75B6"/>
          <w:sz w:val="28"/>
          <w:szCs w:val="28"/>
        </w:rPr>
        <w:t>(六) 教学管理</w:t>
      </w:r>
    </w:p>
    <w:p w14:paraId="1C283839">
      <w:pPr>
        <w:spacing w:before="60" w:after="60" w:line="360" w:lineRule="auto"/>
        <w:ind w:firstLine="480"/>
        <w:jc w:val="both"/>
      </w:pPr>
      <w:r>
        <w:rPr>
          <w:rFonts w:ascii="宋体" w:hAnsi="宋体" w:eastAsia="宋体" w:cs="宋体"/>
          <w:sz w:val="24"/>
          <w:szCs w:val="24"/>
        </w:rPr>
        <w:t xml:space="preserve">教学管理是在主管院长的领导下，实行学院、分院（系）两级负责，学院是教学 管理的主体力量，主要通过以下形式进行： 1.建立教学管理组织协调系统，专业教研室配合教务处、各分院（系）对日常课堂教学及教学建设工作进行管理和监控，及时解决教学中出现的问题。 2.学院、分院（系）两级督学系统，聘请有丰富教学经验和教学管理经验的老教师与其他教学管理人员组成校院两级科学小组，实现“督教、督学、督管”。 3.分院（系）同行教师评价系统，由分院（系）进行主讲教师的聘任，教师试讲和 教学效果评价工作。 4.学生信息员系统，聘任学生担任本专业的教学质量监督言息员，及时掌握专业的教学信息，对教学中存在的问题及时向分院（系）、学院进行反馈。  5.教师—学生双向课堂教学效果反馈系统，每学期期中，由学生会组织学生填写  《课堂教学效果反馈表》，对所有上课教师的教学效果进行反馈。同时，教师每学期将课堂教学过程出现的问题（如学生的学习效果、学习风气、教学条件、教学设备的使用情况）反馈给学院督导。 6.网络教务反馈系统，通过网络获取教学信息。  为了达到全面控制教学过程、提高教学质量的目的，进行课堂教学检查时，各类检査人员应填写相应的评估表和反馈表，及时对评估表和反馈表进行统计处理，将结果反馈给教师 所在的教研室，并以适当的方式反馈给教师。每学期以分院（系）为单位，综合各种渠道 的检查结果和反馈结果，采取先定量后定性的办法，对所有任课教师的教学效果和质量进行评价。评价结果经分院（系）审核后，将结果存入教师教学工作档案，作为教师晋职、评优的重要依据。每学期，学院教务处对教学质量方面存在的共性问题采取简报、总结等形式，对存在的个性问题采取座谈会、个别交流、文字材料等形式，以随时总结经验，改进教学。 </w:t>
      </w:r>
    </w:p>
    <w:p w14:paraId="198EEA60">
      <w:pPr>
        <w:spacing w:before="240" w:after="120"/>
        <w:ind w:left="240"/>
      </w:pPr>
      <w:r>
        <w:rPr>
          <w:rFonts w:ascii="宋体" w:hAnsi="宋体" w:eastAsia="宋体" w:cs="宋体"/>
          <w:color w:val="2E75B6"/>
          <w:sz w:val="28"/>
          <w:szCs w:val="28"/>
        </w:rPr>
        <w:t>▎</w:t>
      </w:r>
      <w:r>
        <w:rPr>
          <w:rFonts w:ascii="宋体" w:hAnsi="宋体" w:eastAsia="宋体" w:cs="宋体"/>
          <w:sz w:val="12"/>
          <w:szCs w:val="12"/>
        </w:rPr>
        <w:t>　</w:t>
      </w:r>
      <w:r>
        <w:rPr>
          <w:rFonts w:ascii="宋体" w:hAnsi="宋体" w:eastAsia="宋体" w:cs="宋体"/>
          <w:b/>
          <w:bCs/>
          <w:color w:val="2E75B6"/>
          <w:sz w:val="28"/>
          <w:szCs w:val="28"/>
        </w:rPr>
        <w:t>(七) 课程考核与评价</w:t>
      </w:r>
    </w:p>
    <w:p w14:paraId="04C808EF">
      <w:pPr>
        <w:spacing w:before="60" w:after="60" w:line="360" w:lineRule="auto"/>
        <w:ind w:firstLine="480"/>
        <w:jc w:val="both"/>
      </w:pPr>
      <w:r>
        <w:rPr>
          <w:rFonts w:ascii="宋体" w:hAnsi="宋体" w:eastAsia="宋体" w:cs="宋体"/>
          <w:sz w:val="24"/>
          <w:szCs w:val="24"/>
        </w:rPr>
        <w:t>本课程是专业选修课程，性质为考试课，具体考核方式有多项内容组成，期初就对学生明确。期末成绩为综合评定，由考勤（10%左右）、课堂表现（10%左右）、课堂作业（20%左右）、期末测试（60%左右）等项目组成。</w:t>
      </w:r>
    </w:p>
    <w:p w14:paraId="17DF67D7">
      <w:pPr>
        <w:spacing w:before="240" w:after="120"/>
        <w:ind w:left="240"/>
      </w:pPr>
      <w:r>
        <w:rPr>
          <w:rFonts w:ascii="宋体" w:hAnsi="宋体" w:eastAsia="宋体" w:cs="宋体"/>
          <w:color w:val="2E75B6"/>
          <w:sz w:val="28"/>
          <w:szCs w:val="28"/>
        </w:rPr>
        <w:t>▎</w:t>
      </w:r>
      <w:r>
        <w:rPr>
          <w:rFonts w:ascii="宋体" w:hAnsi="宋体" w:eastAsia="宋体" w:cs="宋体"/>
          <w:sz w:val="12"/>
          <w:szCs w:val="12"/>
        </w:rPr>
        <w:t>　</w:t>
      </w:r>
      <w:r>
        <w:rPr>
          <w:rFonts w:ascii="宋体" w:hAnsi="宋体" w:eastAsia="宋体" w:cs="宋体"/>
          <w:b/>
          <w:bCs/>
          <w:color w:val="2E75B6"/>
          <w:sz w:val="28"/>
          <w:szCs w:val="28"/>
        </w:rPr>
        <w:t>(八) 课程负责人及教学团队</w:t>
      </w:r>
    </w:p>
    <w:p w14:paraId="3171A25B">
      <w:pPr>
        <w:spacing w:before="60" w:after="60"/>
        <w:ind w:left="720"/>
      </w:pPr>
      <w:r>
        <w:rPr>
          <w:rFonts w:ascii="宋体" w:hAnsi="宋体" w:eastAsia="宋体" w:cs="宋体"/>
          <w:b/>
          <w:bCs/>
          <w:sz w:val="24"/>
          <w:szCs w:val="24"/>
        </w:rPr>
        <w:t>课程负责人：</w:t>
      </w:r>
      <w:r>
        <w:rPr>
          <w:rFonts w:ascii="宋体" w:hAnsi="宋体" w:eastAsia="宋体" w:cs="宋体"/>
          <w:sz w:val="24"/>
          <w:szCs w:val="24"/>
        </w:rPr>
        <w:t>赵波</w:t>
      </w:r>
    </w:p>
    <w:p w14:paraId="068DD386">
      <w:pPr>
        <w:spacing w:before="60" w:after="60"/>
        <w:ind w:left="720"/>
      </w:pPr>
      <w:r>
        <w:rPr>
          <w:rFonts w:ascii="宋体" w:hAnsi="宋体" w:eastAsia="宋体" w:cs="宋体"/>
          <w:b/>
          <w:bCs/>
          <w:sz w:val="24"/>
          <w:szCs w:val="24"/>
        </w:rPr>
        <w:t>教学团队：</w:t>
      </w:r>
      <w:r>
        <w:rPr>
          <w:rFonts w:ascii="宋体" w:hAnsi="宋体" w:eastAsia="宋体" w:cs="宋体"/>
          <w:sz w:val="24"/>
          <w:szCs w:val="24"/>
        </w:rPr>
        <w:t>艾明</w:t>
      </w:r>
    </w:p>
    <w:p w14:paraId="0779D3ED">
      <w:pPr>
        <w:pBdr>
          <w:bottom w:val="single" w:color="2E75B6" w:sz="8" w:space="6"/>
        </w:pBdr>
        <w:spacing w:before="480" w:after="240"/>
      </w:pPr>
      <w:r>
        <w:rPr>
          <w:rFonts w:ascii="宋体" w:hAnsi="宋体" w:eastAsia="宋体" w:cs="宋体"/>
          <w:b/>
          <w:bCs/>
          <w:color w:val="1F3864"/>
          <w:sz w:val="36"/>
          <w:szCs w:val="36"/>
        </w:rPr>
        <w:t>七、其他说明</w:t>
      </w:r>
    </w:p>
    <w:p w14:paraId="471718E4">
      <w:pPr>
        <w:spacing w:before="60" w:after="60" w:line="360" w:lineRule="auto"/>
        <w:ind w:firstLine="480"/>
        <w:jc w:val="both"/>
      </w:pPr>
      <w:r>
        <w:rPr>
          <w:rFonts w:ascii="宋体" w:hAnsi="宋体" w:eastAsia="宋体" w:cs="宋体"/>
          <w:sz w:val="24"/>
          <w:szCs w:val="24"/>
        </w:rPr>
        <w:t>无</w:t>
      </w:r>
    </w:p>
    <w:p w14:paraId="64E937BD">
      <w:pPr>
        <w:spacing w:before="600"/>
      </w:pPr>
    </w:p>
    <w:tbl>
      <w:tblPr>
        <w:tblStyle w:val="11"/>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5572"/>
        <w:gridCol w:w="3428"/>
      </w:tblGrid>
      <w:tr w14:paraId="65B4D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Borders>
              <w:top w:val="nil"/>
              <w:left w:val="nil"/>
              <w:bottom w:val="nil"/>
              <w:right w:val="nil"/>
            </w:tcBorders>
            <w:tcMar>
              <w:top w:w="120" w:type="dxa"/>
              <w:left w:w="0" w:type="dxa"/>
              <w:bottom w:w="0" w:type="dxa"/>
              <w:right w:w="0" w:type="dxa"/>
            </w:tcMar>
          </w:tcPr>
          <w:p w14:paraId="230E132F">
            <w:pPr>
              <w:jc w:val="left"/>
            </w:pPr>
            <w:r>
              <w:rPr>
                <w:rFonts w:ascii="宋体" w:hAnsi="宋体" w:eastAsia="宋体" w:cs="宋体"/>
                <w:b/>
                <w:bCs/>
                <w:sz w:val="24"/>
                <w:szCs w:val="24"/>
              </w:rPr>
              <w:t>制定部门：</w:t>
            </w:r>
            <w:r>
              <w:rPr>
                <w:rFonts w:ascii="宋体" w:hAnsi="宋体" w:eastAsia="宋体" w:cs="宋体"/>
                <w:sz w:val="24"/>
                <w:szCs w:val="24"/>
              </w:rPr>
              <w:t>智能信息工程学院</w:t>
            </w:r>
          </w:p>
        </w:tc>
        <w:tc>
          <w:tcPr>
            <w:tcBorders>
              <w:top w:val="nil"/>
              <w:left w:val="nil"/>
              <w:bottom w:val="nil"/>
              <w:right w:val="nil"/>
            </w:tcBorders>
            <w:tcMar>
              <w:top w:w="120" w:type="dxa"/>
              <w:left w:w="0" w:type="dxa"/>
              <w:bottom w:w="0" w:type="dxa"/>
              <w:right w:w="0" w:type="dxa"/>
            </w:tcMar>
          </w:tcPr>
          <w:p w14:paraId="681258B9">
            <w:pPr>
              <w:jc w:val="right"/>
            </w:pPr>
            <w:r>
              <w:rPr>
                <w:rFonts w:ascii="宋体" w:hAnsi="宋体" w:eastAsia="宋体" w:cs="宋体"/>
                <w:b/>
                <w:bCs/>
                <w:sz w:val="24"/>
                <w:szCs w:val="24"/>
              </w:rPr>
              <w:t>时间：</w:t>
            </w:r>
            <w:r>
              <w:rPr>
                <w:rFonts w:ascii="宋体" w:hAnsi="宋体" w:eastAsia="宋体" w:cs="宋体"/>
                <w:sz w:val="24"/>
                <w:szCs w:val="24"/>
              </w:rPr>
              <w:t>2026-07-24</w:t>
            </w:r>
          </w:p>
        </w:tc>
      </w:tr>
      <w:tr w14:paraId="302D2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Borders>
              <w:top w:val="nil"/>
              <w:left w:val="nil"/>
              <w:bottom w:val="nil"/>
              <w:right w:val="nil"/>
            </w:tcBorders>
            <w:tcMar>
              <w:top w:w="120" w:type="dxa"/>
              <w:left w:w="0" w:type="dxa"/>
              <w:bottom w:w="0" w:type="dxa"/>
              <w:right w:w="0" w:type="dxa"/>
            </w:tcMar>
          </w:tcPr>
          <w:p w14:paraId="7C93B04E">
            <w:pPr>
              <w:jc w:val="left"/>
            </w:pPr>
            <w:r>
              <w:rPr>
                <w:rFonts w:ascii="宋体" w:hAnsi="宋体" w:eastAsia="宋体" w:cs="宋体"/>
                <w:b/>
                <w:bCs/>
                <w:sz w:val="24"/>
                <w:szCs w:val="24"/>
              </w:rPr>
              <w:t>审　核　人：</w:t>
            </w:r>
            <w:r>
              <w:rPr>
                <w:rFonts w:ascii="宋体" w:hAnsi="宋体" w:eastAsia="宋体" w:cs="宋体"/>
                <w:sz w:val="24"/>
                <w:szCs w:val="24"/>
              </w:rPr>
              <w:t>赵波</w:t>
            </w:r>
          </w:p>
        </w:tc>
        <w:tc>
          <w:tcPr>
            <w:tcBorders>
              <w:top w:val="nil"/>
              <w:left w:val="nil"/>
              <w:bottom w:val="nil"/>
              <w:right w:val="nil"/>
            </w:tcBorders>
            <w:tcMar>
              <w:top w:w="120" w:type="dxa"/>
              <w:left w:w="0" w:type="dxa"/>
              <w:bottom w:w="0" w:type="dxa"/>
              <w:right w:w="0" w:type="dxa"/>
            </w:tcMar>
          </w:tcPr>
          <w:p w14:paraId="19DD176A">
            <w:pPr>
              <w:jc w:val="right"/>
            </w:pPr>
            <w:r>
              <w:rPr>
                <w:rFonts w:ascii="宋体" w:hAnsi="宋体" w:eastAsia="宋体" w:cs="宋体"/>
                <w:b/>
                <w:bCs/>
                <w:sz w:val="24"/>
                <w:szCs w:val="24"/>
              </w:rPr>
              <w:t>时间：</w:t>
            </w:r>
          </w:p>
        </w:tc>
      </w:tr>
    </w:tbl>
    <w:p w14:paraId="62A629EE">
      <w:pPr>
        <w:spacing w:before="400"/>
      </w:pPr>
    </w:p>
    <w:sectPr>
      <w:pgSz w:w="11909" w:h="16834"/>
      <w:pgMar w:top="1440" w:right="1440" w:bottom="1440" w:left="144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ompat>
    <w:useFELayout/>
    <w:compatSetting w:name="compatibilityMode" w:uri="http://schemas.microsoft.com/office/word" w:val="15"/>
  </w:compat>
  <w:rsids>
    <w:rsidRoot w:val="00000000"/>
    <w:rsid w:val="5F62585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宋体" w:hAnsi="宋体"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name="footnote reference"/>
    <w:lsdException w:unhideWhenUsed="0" w:uiPriority="0" w:semiHidden="0" w:name="annotation reference"/>
    <w:lsdException w:unhideWhenUsed="0" w:uiPriority="0" w:semiHidden="0" w:name="line number"/>
    <w:lsdException w:unhideWhenUsed="0" w:uiPriority="0" w:semiHidden="0" w:name="page number"/>
    <w:lsdException w:qFormat="1" w:uiPriority="99" w:name="endnote reference"/>
    <w:lsdException w:qFormat="1" w:uiPriority="99"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宋体" w:eastAsia="宋体" w:cs="宋体"/>
      <w:sz w:val="24"/>
      <w:szCs w:val="24"/>
    </w:rPr>
  </w:style>
  <w:style w:type="paragraph" w:styleId="2">
    <w:name w:val="heading 1"/>
    <w:next w:val="1"/>
    <w:qFormat/>
    <w:uiPriority w:val="0"/>
    <w:pPr>
      <w:spacing w:before="0" w:after="0"/>
    </w:pPr>
    <w:rPr>
      <w:rFonts w:ascii="宋体" w:hAnsi="宋体" w:eastAsia="宋体" w:cs="宋体"/>
      <w:color w:val="2E74B5"/>
      <w:sz w:val="32"/>
      <w:szCs w:val="32"/>
    </w:rPr>
  </w:style>
  <w:style w:type="paragraph" w:styleId="3">
    <w:name w:val="heading 2"/>
    <w:next w:val="1"/>
    <w:qFormat/>
    <w:uiPriority w:val="0"/>
    <w:pPr>
      <w:spacing w:before="0" w:after="0"/>
    </w:pPr>
    <w:rPr>
      <w:rFonts w:ascii="宋体" w:hAnsi="宋体" w:eastAsia="宋体" w:cs="宋体"/>
      <w:color w:val="2E74B5"/>
      <w:sz w:val="26"/>
      <w:szCs w:val="26"/>
    </w:rPr>
  </w:style>
  <w:style w:type="paragraph" w:styleId="4">
    <w:name w:val="heading 3"/>
    <w:next w:val="1"/>
    <w:qFormat/>
    <w:uiPriority w:val="0"/>
    <w:pPr>
      <w:spacing w:before="0" w:after="0"/>
    </w:pPr>
    <w:rPr>
      <w:rFonts w:ascii="宋体" w:hAnsi="宋体" w:eastAsia="宋体" w:cs="宋体"/>
      <w:color w:val="1F4D78"/>
      <w:sz w:val="24"/>
      <w:szCs w:val="24"/>
    </w:rPr>
  </w:style>
  <w:style w:type="paragraph" w:styleId="5">
    <w:name w:val="heading 4"/>
    <w:next w:val="1"/>
    <w:qFormat/>
    <w:uiPriority w:val="0"/>
    <w:pPr>
      <w:spacing w:before="0" w:after="0"/>
    </w:pPr>
    <w:rPr>
      <w:rFonts w:ascii="宋体" w:hAnsi="宋体" w:eastAsia="宋体" w:cs="宋体"/>
      <w:i/>
      <w:iCs/>
      <w:color w:val="2E74B5"/>
      <w:sz w:val="24"/>
      <w:szCs w:val="24"/>
    </w:rPr>
  </w:style>
  <w:style w:type="paragraph" w:styleId="6">
    <w:name w:val="heading 5"/>
    <w:next w:val="1"/>
    <w:qFormat/>
    <w:uiPriority w:val="0"/>
    <w:pPr>
      <w:spacing w:before="0" w:after="0"/>
    </w:pPr>
    <w:rPr>
      <w:rFonts w:ascii="宋体" w:hAnsi="宋体" w:eastAsia="宋体" w:cs="宋体"/>
      <w:color w:val="2E74B5"/>
      <w:sz w:val="24"/>
      <w:szCs w:val="24"/>
    </w:rPr>
  </w:style>
  <w:style w:type="paragraph" w:styleId="7">
    <w:name w:val="heading 6"/>
    <w:next w:val="1"/>
    <w:qFormat/>
    <w:uiPriority w:val="0"/>
    <w:pPr>
      <w:spacing w:before="0" w:after="0"/>
    </w:pPr>
    <w:rPr>
      <w:rFonts w:ascii="宋体" w:hAnsi="宋体" w:eastAsia="宋体" w:cs="宋体"/>
      <w:color w:val="1F4D78"/>
      <w:sz w:val="24"/>
      <w:szCs w:val="24"/>
    </w:rPr>
  </w:style>
  <w:style w:type="character" w:default="1" w:styleId="12">
    <w:name w:val="Default Paragraph Font"/>
    <w:semiHidden/>
    <w:uiPriority w:val="0"/>
  </w:style>
  <w:style w:type="table" w:default="1" w:styleId="11">
    <w:name w:val="Normal Table"/>
    <w:semiHidden/>
    <w:uiPriority w:val="0"/>
    <w:tblPr>
      <w:tblCellMar>
        <w:top w:w="0" w:type="dxa"/>
        <w:left w:w="108" w:type="dxa"/>
        <w:bottom w:w="0" w:type="dxa"/>
        <w:right w:w="108" w:type="dxa"/>
      </w:tblCellMar>
    </w:tblPr>
  </w:style>
  <w:style w:type="paragraph" w:styleId="8">
    <w:name w:val="endnote text"/>
    <w:link w:val="18"/>
    <w:semiHidden/>
    <w:unhideWhenUsed/>
    <w:qFormat/>
    <w:uiPriority w:val="99"/>
    <w:pPr>
      <w:spacing w:before="0" w:after="0" w:line="240" w:lineRule="auto"/>
    </w:pPr>
    <w:rPr>
      <w:rFonts w:ascii="宋体" w:hAnsi="宋体" w:eastAsia="宋体" w:cs="宋体"/>
      <w:sz w:val="20"/>
      <w:szCs w:val="20"/>
    </w:rPr>
  </w:style>
  <w:style w:type="paragraph" w:styleId="9">
    <w:name w:val="footnote text"/>
    <w:link w:val="17"/>
    <w:semiHidden/>
    <w:unhideWhenUsed/>
    <w:qFormat/>
    <w:uiPriority w:val="99"/>
    <w:pPr>
      <w:spacing w:before="0" w:after="0" w:line="240" w:lineRule="auto"/>
    </w:pPr>
    <w:rPr>
      <w:rFonts w:ascii="宋体" w:hAnsi="宋体" w:eastAsia="宋体" w:cs="宋体"/>
      <w:sz w:val="20"/>
      <w:szCs w:val="20"/>
    </w:rPr>
  </w:style>
  <w:style w:type="paragraph" w:styleId="10">
    <w:name w:val="Title"/>
    <w:qFormat/>
    <w:uiPriority w:val="0"/>
    <w:pPr>
      <w:spacing w:before="0" w:after="0"/>
    </w:pPr>
    <w:rPr>
      <w:rFonts w:ascii="宋体" w:hAnsi="宋体" w:eastAsia="宋体" w:cs="宋体"/>
      <w:sz w:val="56"/>
      <w:szCs w:val="56"/>
    </w:rPr>
  </w:style>
  <w:style w:type="character" w:styleId="13">
    <w:name w:val="endnote reference"/>
    <w:semiHidden/>
    <w:unhideWhenUsed/>
    <w:qFormat/>
    <w:uiPriority w:val="99"/>
    <w:rPr>
      <w:vertAlign w:val="superscript"/>
    </w:rPr>
  </w:style>
  <w:style w:type="character" w:styleId="14">
    <w:name w:val="Hyperlink"/>
    <w:unhideWhenUsed/>
    <w:qFormat/>
    <w:uiPriority w:val="99"/>
    <w:rPr>
      <w:color w:val="0563C1"/>
      <w:u w:val="single"/>
    </w:rPr>
  </w:style>
  <w:style w:type="character" w:styleId="15">
    <w:name w:val="footnote reference"/>
    <w:semiHidden/>
    <w:unhideWhenUsed/>
    <w:qFormat/>
    <w:uiPriority w:val="99"/>
    <w:rPr>
      <w:vertAlign w:val="superscript"/>
    </w:rPr>
  </w:style>
  <w:style w:type="paragraph" w:styleId="16">
    <w:name w:val="List Paragraph"/>
    <w:qFormat/>
    <w:uiPriority w:val="0"/>
    <w:pPr>
      <w:spacing w:before="0" w:after="0"/>
    </w:pPr>
    <w:rPr>
      <w:rFonts w:ascii="宋体" w:hAnsi="宋体" w:eastAsia="宋体" w:cs="宋体"/>
      <w:sz w:val="24"/>
      <w:szCs w:val="24"/>
    </w:rPr>
  </w:style>
  <w:style w:type="character" w:customStyle="1" w:styleId="17">
    <w:name w:val="Footnote Text Char"/>
    <w:link w:val="9"/>
    <w:semiHidden/>
    <w:unhideWhenUsed/>
    <w:qFormat/>
    <w:uiPriority w:val="99"/>
    <w:rPr>
      <w:sz w:val="20"/>
      <w:szCs w:val="20"/>
    </w:rPr>
  </w:style>
  <w:style w:type="character" w:customStyle="1" w:styleId="18">
    <w:name w:val="Endnote Text Char"/>
    <w:link w:val="8"/>
    <w:semiHidden/>
    <w:unhideWhenUsed/>
    <w:qFormat/>
    <w:uiPriority w:val="99"/>
    <w:rPr>
      <w:sz w:val="20"/>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8</Pages>
  <Words>1738</Words>
  <Characters>1915</Characters>
  <TotalTime>3</TotalTime>
  <ScaleCrop>false</ScaleCrop>
  <LinksUpToDate>false</LinksUpToDate>
  <CharactersWithSpaces>1940</CharactersWithSpaces>
  <Application>WPS Office_12.1.0.28043_F1E327BC-269C-435d-A152-05C5408002CA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2026-08-27T07:46:00Z</dcterms:created>
  <dc:creator>Un-named</dc:creator>
  <cp:lastModifiedBy>NANA谢</cp:lastModifiedBy>
  <dcterms:modified xsi:type="dcterms:W3CDTF">2026-08-27T08:06:10Z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1876B91FAE1041E18D33FDE96B407A29_13</vt:lpwstr>
  </property>
</Properties>
</file>