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BA6AC">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rPr>
        <w:t>广西幼儿师范高等专科学校202</w:t>
      </w:r>
      <w:r>
        <w:rPr>
          <w:rFonts w:hint="eastAsia" w:ascii="方正小标宋简体" w:hAnsi="方正小标宋简体" w:eastAsia="方正小标宋简体" w:cs="方正小标宋简体"/>
          <w:color w:val="auto"/>
          <w:sz w:val="36"/>
          <w:szCs w:val="36"/>
          <w:lang w:val="en-US" w:eastAsia="zh-CN"/>
        </w:rPr>
        <w:t>6</w:t>
      </w:r>
      <w:r>
        <w:rPr>
          <w:rFonts w:hint="eastAsia" w:ascii="方正小标宋简体" w:hAnsi="方正小标宋简体" w:eastAsia="方正小标宋简体" w:cs="方正小标宋简体"/>
          <w:color w:val="auto"/>
          <w:sz w:val="36"/>
          <w:szCs w:val="36"/>
        </w:rPr>
        <w:t>年</w:t>
      </w:r>
      <w:r>
        <w:rPr>
          <w:rFonts w:hint="eastAsia" w:ascii="方正小标宋简体" w:hAnsi="方正小标宋简体" w:eastAsia="方正小标宋简体" w:cs="方正小标宋简体"/>
          <w:color w:val="auto"/>
          <w:sz w:val="36"/>
          <w:szCs w:val="36"/>
          <w:lang w:val="en-US" w:eastAsia="zh-CN"/>
        </w:rPr>
        <w:t>下半年公开招聘</w:t>
      </w:r>
    </w:p>
    <w:p w14:paraId="02A7C2EA">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高层次人才</w:t>
      </w:r>
      <w:r>
        <w:rPr>
          <w:rFonts w:hint="eastAsia" w:ascii="方正小标宋简体" w:hAnsi="方正小标宋简体" w:eastAsia="方正小标宋简体" w:cs="方正小标宋简体"/>
          <w:color w:val="auto"/>
          <w:sz w:val="36"/>
          <w:szCs w:val="36"/>
        </w:rPr>
        <w:t>公告</w:t>
      </w:r>
    </w:p>
    <w:p w14:paraId="5CDC3EE3">
      <w:pPr>
        <w:keepNext w:val="0"/>
        <w:keepLines w:val="0"/>
        <w:pageBreakBefore w:val="0"/>
        <w:kinsoku/>
        <w:wordWrap/>
        <w:overflowPunct/>
        <w:topLinePunct w:val="0"/>
        <w:autoSpaceDE/>
        <w:autoSpaceDN/>
        <w:bidi w:val="0"/>
        <w:adjustRightInd/>
        <w:snapToGrid/>
        <w:spacing w:line="540" w:lineRule="exact"/>
        <w:textAlignment w:val="auto"/>
        <w:rPr>
          <w:rFonts w:ascii="方正小标宋简体" w:eastAsia="方正小标宋简体"/>
          <w:color w:val="auto"/>
          <w:sz w:val="36"/>
          <w:szCs w:val="36"/>
        </w:rPr>
      </w:pPr>
    </w:p>
    <w:p w14:paraId="58B6425B">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根据《广西壮族自治区事业单位公开招聘人员实施办法（修订）》（桂人社规〔2025〕11号）及有关文件精神，结合学校实际工作需要，现</w:t>
      </w:r>
      <w:r>
        <w:rPr>
          <w:rFonts w:hint="eastAsia" w:ascii="Times New Roman" w:hAnsi="Times New Roman" w:eastAsia="仿宋_GB2312" w:cs="Times New Roman"/>
          <w:color w:val="auto"/>
          <w:sz w:val="32"/>
          <w:szCs w:val="32"/>
          <w:lang w:eastAsia="zh-CN"/>
        </w:rPr>
        <w:t>将</w:t>
      </w:r>
      <w:r>
        <w:rPr>
          <w:rFonts w:hint="eastAsia" w:ascii="Times New Roman" w:hAnsi="Times New Roman" w:eastAsia="仿宋_GB2312" w:cs="Times New Roman"/>
          <w:color w:val="auto"/>
          <w:sz w:val="32"/>
          <w:szCs w:val="32"/>
        </w:rPr>
        <w:t>本单位202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下半年</w:t>
      </w:r>
      <w:r>
        <w:rPr>
          <w:rFonts w:hint="eastAsia" w:ascii="Times New Roman" w:hAnsi="Times New Roman" w:eastAsia="仿宋_GB2312" w:cs="Times New Roman"/>
          <w:color w:val="auto"/>
          <w:sz w:val="32"/>
          <w:szCs w:val="32"/>
        </w:rPr>
        <w:t>公开招聘</w:t>
      </w:r>
      <w:r>
        <w:rPr>
          <w:rFonts w:hint="eastAsia" w:ascii="Times New Roman" w:hAnsi="Times New Roman" w:eastAsia="仿宋_GB2312" w:cs="Times New Roman"/>
          <w:color w:val="auto"/>
          <w:sz w:val="32"/>
          <w:szCs w:val="32"/>
          <w:lang w:val="en-US" w:eastAsia="zh-CN"/>
        </w:rPr>
        <w:t>高层次</w:t>
      </w:r>
      <w:r>
        <w:rPr>
          <w:rFonts w:hint="eastAsia" w:ascii="Times New Roman" w:hAnsi="Times New Roman" w:eastAsia="仿宋_GB2312" w:cs="Times New Roman"/>
          <w:color w:val="auto"/>
          <w:sz w:val="32"/>
          <w:szCs w:val="32"/>
        </w:rPr>
        <w:t>人才有关事项公告如下：</w:t>
      </w:r>
    </w:p>
    <w:p w14:paraId="3CDEB444">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一、单位简介</w:t>
      </w:r>
    </w:p>
    <w:p w14:paraId="7408F20E">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广西幼儿师范高等专科学校的前身是1938年我国著名幼儿教育专家张雪门创办的北平香山慈幼院桂林分院幼稚师范学校</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2009年3月学校经教育部批准升格为广西幼儿师范高等专科学校，直属广西壮族自治区教育厅管理。广西壮族自治区幼儿教师培训中心、广西特殊教育师资培训中心挂靠我校。</w:t>
      </w:r>
    </w:p>
    <w:p w14:paraId="6C6E04A0">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微软雅黑"/>
          <w:b w:val="0"/>
          <w:i w:val="0"/>
          <w:iCs w:val="0"/>
          <w:caps w:val="0"/>
          <w:color w:val="auto"/>
          <w:spacing w:val="0"/>
          <w:sz w:val="32"/>
          <w:szCs w:val="24"/>
          <w:highlight w:val="none"/>
          <w:shd w:val="clear" w:fill="FFFFFF"/>
          <w:lang w:eastAsia="zh-CN"/>
        </w:rPr>
      </w:pPr>
      <w:r>
        <w:rPr>
          <w:rFonts w:hint="eastAsia" w:ascii="Times New Roman" w:hAnsi="Times New Roman" w:eastAsia="仿宋_GB2312" w:cs="Times New Roman"/>
          <w:color w:val="auto"/>
          <w:sz w:val="32"/>
          <w:szCs w:val="32"/>
        </w:rPr>
        <w:t>学校设有</w:t>
      </w:r>
      <w:r>
        <w:rPr>
          <w:rFonts w:hint="eastAsia" w:ascii="Times New Roman" w:hAnsi="Times New Roman" w:eastAsia="仿宋_GB2312"/>
          <w:color w:val="auto"/>
          <w:kern w:val="0"/>
          <w:sz w:val="32"/>
          <w:szCs w:val="32"/>
        </w:rPr>
        <w:t>马克思主义学院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学前教育学院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初等教育学院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特殊教育学院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托育服务与康养学院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运动科学学院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音乐舞蹈学院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美术设计学院</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儿童艺术学院</w:t>
      </w:r>
      <w:r>
        <w:rPr>
          <w:rFonts w:hint="eastAsia" w:ascii="Times New Roman" w:hAnsi="Times New Roman" w:eastAsia="仿宋_GB2312"/>
          <w:color w:val="auto"/>
          <w:kern w:val="0"/>
          <w:sz w:val="32"/>
          <w:szCs w:val="32"/>
          <w:lang w:val="en-US" w:eastAsia="zh-CN"/>
        </w:rPr>
        <w:t>、继续教育学院、创新创业学院</w:t>
      </w:r>
      <w:r>
        <w:rPr>
          <w:rFonts w:hint="eastAsia" w:ascii="Times New Roman" w:hAnsi="Times New Roman" w:eastAsia="仿宋_GB2312" w:cs="Times New Roman"/>
          <w:color w:val="auto"/>
          <w:sz w:val="32"/>
          <w:szCs w:val="32"/>
        </w:rPr>
        <w:t>等</w:t>
      </w:r>
      <w:r>
        <w:rPr>
          <w:rFonts w:hint="eastAsia" w:ascii="Times New Roman" w:hAnsi="Times New Roman" w:eastAsia="仿宋_GB2312" w:cs="Times New Roman"/>
          <w:color w:val="auto"/>
          <w:sz w:val="32"/>
          <w:szCs w:val="32"/>
          <w:lang w:val="en-US" w:eastAsia="zh-CN"/>
        </w:rPr>
        <w:t>11</w:t>
      </w:r>
      <w:r>
        <w:rPr>
          <w:rFonts w:hint="eastAsia" w:ascii="Times New Roman" w:hAnsi="Times New Roman" w:eastAsia="仿宋_GB2312" w:cs="Times New Roman"/>
          <w:color w:val="auto"/>
          <w:sz w:val="32"/>
          <w:szCs w:val="32"/>
        </w:rPr>
        <w:t>个教学</w:t>
      </w:r>
      <w:r>
        <w:rPr>
          <w:rFonts w:hint="eastAsia" w:ascii="Times New Roman" w:hAnsi="Times New Roman" w:eastAsia="仿宋_GB2312" w:cs="Times New Roman"/>
          <w:color w:val="auto"/>
          <w:sz w:val="32"/>
          <w:szCs w:val="32"/>
          <w:lang w:val="en-US" w:eastAsia="zh-CN"/>
        </w:rPr>
        <w:t>机构</w:t>
      </w:r>
      <w:r>
        <w:rPr>
          <w:rFonts w:hint="eastAsia" w:ascii="Times New Roman" w:hAnsi="Times New Roman" w:eastAsia="仿宋_GB2312" w:cs="Times New Roman"/>
          <w:color w:val="auto"/>
          <w:sz w:val="32"/>
          <w:szCs w:val="32"/>
        </w:rPr>
        <w:t>，附属</w:t>
      </w:r>
      <w:r>
        <w:rPr>
          <w:rFonts w:hint="eastAsia" w:ascii="Times New Roman" w:hAnsi="Times New Roman" w:eastAsia="仿宋_GB2312" w:cs="Times New Roman"/>
          <w:color w:val="auto"/>
          <w:sz w:val="32"/>
          <w:szCs w:val="32"/>
          <w:lang w:val="en-US" w:eastAsia="zh-CN"/>
        </w:rPr>
        <w:t>实验</w:t>
      </w:r>
      <w:r>
        <w:rPr>
          <w:rFonts w:hint="eastAsia" w:ascii="Times New Roman" w:hAnsi="Times New Roman" w:eastAsia="仿宋_GB2312" w:cs="Times New Roman"/>
          <w:color w:val="auto"/>
          <w:sz w:val="32"/>
          <w:szCs w:val="32"/>
        </w:rPr>
        <w:t>幼儿园1所；</w:t>
      </w:r>
      <w:r>
        <w:rPr>
          <w:rFonts w:hint="eastAsia" w:ascii="Times New Roman" w:hAnsi="Times New Roman" w:eastAsia="仿宋_GB2312" w:cs="Times New Roman"/>
          <w:color w:val="auto"/>
          <w:sz w:val="32"/>
          <w:szCs w:val="32"/>
          <w:highlight w:val="none"/>
          <w:lang w:val="en-US" w:eastAsia="zh-CN"/>
        </w:rPr>
        <w:t>现</w:t>
      </w:r>
      <w:r>
        <w:rPr>
          <w:rFonts w:hint="eastAsia" w:ascii="Times New Roman" w:hAnsi="Times New Roman" w:eastAsia="仿宋_GB2312" w:cs="Times New Roman"/>
          <w:color w:val="auto"/>
          <w:sz w:val="32"/>
          <w:szCs w:val="32"/>
          <w:highlight w:val="none"/>
        </w:rPr>
        <w:t>有专业（方向）</w:t>
      </w:r>
      <w:r>
        <w:rPr>
          <w:rFonts w:hint="eastAsia" w:ascii="Times New Roman" w:hAnsi="Times New Roman" w:eastAsia="仿宋_GB2312" w:cs="微软雅黑"/>
          <w:b w:val="0"/>
          <w:i w:val="0"/>
          <w:iCs w:val="0"/>
          <w:caps w:val="0"/>
          <w:color w:val="auto"/>
          <w:spacing w:val="0"/>
          <w:sz w:val="32"/>
          <w:szCs w:val="24"/>
          <w:highlight w:val="none"/>
          <w:shd w:val="clear" w:fill="FFFFFF"/>
        </w:rPr>
        <w:t>覆盖教育与体育、文化艺术、医药卫生、旅游等7个大类，形成师范教育优势引领、多专业协同发展的格局。学校多年来领跑广西职前职后一体化幼教、特教师资培养培训，在广西乃至全国都具有较高的知名度、美誉度和影响力</w:t>
      </w:r>
      <w:r>
        <w:rPr>
          <w:rFonts w:hint="eastAsia" w:ascii="Times New Roman" w:hAnsi="Times New Roman" w:eastAsia="仿宋_GB2312" w:cs="微软雅黑"/>
          <w:b w:val="0"/>
          <w:i w:val="0"/>
          <w:iCs w:val="0"/>
          <w:caps w:val="0"/>
          <w:color w:val="auto"/>
          <w:spacing w:val="0"/>
          <w:sz w:val="32"/>
          <w:szCs w:val="24"/>
          <w:highlight w:val="none"/>
          <w:shd w:val="clear" w:fill="FFFFFF"/>
          <w:lang w:eastAsia="zh-CN"/>
        </w:rPr>
        <w:t>，在2023软科中国高职院校排名中，学校位居师范类第一。</w:t>
      </w:r>
    </w:p>
    <w:p w14:paraId="1447DA8A">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二、招聘岗位、人数及要求</w:t>
      </w:r>
    </w:p>
    <w:p w14:paraId="01B3C24D">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本次公开</w:t>
      </w:r>
      <w:r>
        <w:rPr>
          <w:rFonts w:ascii="Times New Roman" w:hAnsi="Times New Roman" w:eastAsia="仿宋_GB2312" w:cs="Times New Roman"/>
          <w:color w:val="auto"/>
          <w:sz w:val="32"/>
          <w:szCs w:val="32"/>
        </w:rPr>
        <w:t>招聘</w:t>
      </w:r>
      <w:r>
        <w:rPr>
          <w:rFonts w:hint="eastAsia" w:ascii="Times New Roman" w:hAnsi="Times New Roman" w:eastAsia="仿宋_GB2312" w:cs="Times New Roman"/>
          <w:color w:val="auto"/>
          <w:sz w:val="32"/>
          <w:szCs w:val="32"/>
          <w:lang w:val="en-US" w:eastAsia="zh-CN"/>
        </w:rPr>
        <w:t>高层次人才9</w:t>
      </w:r>
      <w:r>
        <w:rPr>
          <w:rFonts w:hint="eastAsia" w:ascii="Times New Roman" w:hAnsi="Times New Roman" w:eastAsia="仿宋_GB2312" w:cs="Times New Roman"/>
          <w:color w:val="auto"/>
          <w:sz w:val="32"/>
          <w:szCs w:val="32"/>
        </w:rPr>
        <w:t>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具体招聘岗位及要求详见</w:t>
      </w:r>
      <w:r>
        <w:rPr>
          <w:rFonts w:hint="eastAsia" w:ascii="Times New Roman" w:hAnsi="Times New Roman" w:eastAsia="仿宋_GB2312" w:cs="Times New Roman"/>
          <w:color w:val="auto"/>
          <w:sz w:val="32"/>
          <w:szCs w:val="32"/>
          <w:lang w:eastAsia="zh-CN"/>
        </w:rPr>
        <w:t>《广西幼儿师范高等专科学校</w:t>
      </w:r>
      <w:r>
        <w:rPr>
          <w:rFonts w:hint="default"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下半年</w:t>
      </w:r>
      <w:r>
        <w:rPr>
          <w:rFonts w:hint="default" w:ascii="Times New Roman" w:hAnsi="Times New Roman" w:eastAsia="仿宋_GB2312" w:cs="Times New Roman"/>
          <w:color w:val="auto"/>
          <w:sz w:val="32"/>
          <w:szCs w:val="32"/>
        </w:rPr>
        <w:t>公开招聘</w:t>
      </w:r>
      <w:r>
        <w:rPr>
          <w:rFonts w:hint="eastAsia" w:ascii="Times New Roman" w:hAnsi="Times New Roman" w:eastAsia="仿宋_GB2312" w:cs="Times New Roman"/>
          <w:color w:val="auto"/>
          <w:sz w:val="32"/>
          <w:szCs w:val="32"/>
          <w:lang w:val="en-US" w:eastAsia="zh-CN"/>
        </w:rPr>
        <w:t>高层次</w:t>
      </w:r>
      <w:r>
        <w:rPr>
          <w:rFonts w:hint="default" w:ascii="Times New Roman" w:hAnsi="Times New Roman" w:eastAsia="仿宋_GB2312" w:cs="Times New Roman"/>
          <w:color w:val="auto"/>
          <w:sz w:val="32"/>
          <w:szCs w:val="32"/>
        </w:rPr>
        <w:t>人才岗位信息表》（附件）</w:t>
      </w:r>
      <w:r>
        <w:rPr>
          <w:rFonts w:hint="eastAsia" w:ascii="Times New Roman" w:hAnsi="Times New Roman" w:eastAsia="仿宋_GB2312" w:cs="Times New Roman"/>
          <w:color w:val="auto"/>
          <w:sz w:val="32"/>
          <w:szCs w:val="32"/>
        </w:rPr>
        <w:t>。</w:t>
      </w:r>
    </w:p>
    <w:p w14:paraId="52D12C52">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27" w:firstLineChars="196"/>
        <w:textAlignment w:val="auto"/>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三、招聘条件及待遇</w:t>
      </w:r>
    </w:p>
    <w:p w14:paraId="2B0AE4CE">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472" w:firstLineChars="147"/>
        <w:textAlignment w:val="auto"/>
        <w:rPr>
          <w:rFonts w:ascii="Times New Roman" w:hAnsi="Times New Roman" w:eastAsia="仿宋_GB2312" w:cs="Times New Roman"/>
          <w:color w:val="auto"/>
          <w:sz w:val="32"/>
          <w:szCs w:val="32"/>
        </w:rPr>
      </w:pPr>
      <w:r>
        <w:rPr>
          <w:rStyle w:val="9"/>
          <w:rFonts w:ascii="Times New Roman" w:hAnsi="Times New Roman" w:eastAsia="仿宋_GB2312" w:cs="Times New Roman"/>
          <w:color w:val="auto"/>
          <w:sz w:val="32"/>
          <w:szCs w:val="32"/>
        </w:rPr>
        <w:t>（一）应聘人员必须具备的基本条件。</w:t>
      </w:r>
    </w:p>
    <w:p w14:paraId="00B72700">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1．具有中华人民共和国国籍，热爱教育事业，遵纪守法，品行端正，具有良好的师德和职业道德。</w:t>
      </w:r>
    </w:p>
    <w:p w14:paraId="6AFD3CB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lang w:val="en-US" w:eastAsia="zh-CN"/>
        </w:rPr>
        <w:t>具有岗位所需要的学历学位、年龄、专业（技能）、身体条件及心理素质、工作经历等要求。</w:t>
      </w:r>
    </w:p>
    <w:p w14:paraId="28B5534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龄、工作经历以及相关资格要求等时间的计算，均截至报名首日。学历学位（含教育部留学服务中心国外学历学位认证）、职称、职业资格、技能等级等资格证件，应在报名首日以前取得。岗位要求的职称均为非“定向评价、定向使用”取得的职称。全日制或脱产就读期间参加社会实践、实习、兼职等不视为有相关工作经历。</w:t>
      </w:r>
    </w:p>
    <w:p w14:paraId="2136FBB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报名的专业、学历、学位应一致。专业目录参考《广西壮族自治区考试录用公务员专业分类指导目录（2026年版）》或国家教育行政部门制定的学科专业目录。</w:t>
      </w:r>
    </w:p>
    <w:p w14:paraId="420BF503">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．具备岗位所需要的其他条件。</w:t>
      </w:r>
    </w:p>
    <w:p w14:paraId="03758284">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3" w:firstLineChars="200"/>
        <w:textAlignment w:val="auto"/>
        <w:rPr>
          <w:rFonts w:hint="eastAsia"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sz w:val="32"/>
          <w:szCs w:val="32"/>
        </w:rPr>
        <w:t>存在下列情形之一的，不得报考：</w:t>
      </w:r>
    </w:p>
    <w:p w14:paraId="6679D7AD">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1．曾因犯罪受过刑事处罚的人员、被开除中国共产党党籍的人员、被开除公职的人员；</w:t>
      </w:r>
    </w:p>
    <w:p w14:paraId="136A1BD8">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2．在公务员招考和事业单位公开招聘中被考试组织部门认定有严重违纪违规行为并在禁考期限内的人员；</w:t>
      </w:r>
    </w:p>
    <w:p w14:paraId="7C92B8DD">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3．被辞退未满五年的国家机关、事业单位公职人员；</w:t>
      </w:r>
    </w:p>
    <w:p w14:paraId="3905EBE2">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4．通过定向招聘、简化程序、放宽条件等方式招聘到机关事业单位，按规定有且仍在最低服务期限内的在编人员（含纳入人员总量管理的各类控制数人员）；</w:t>
      </w:r>
    </w:p>
    <w:p w14:paraId="7D8C2AFA">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5．现役军人；</w:t>
      </w:r>
    </w:p>
    <w:p w14:paraId="6FDE672E">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6．聘用后即构成回避关系的人员；</w:t>
      </w:r>
    </w:p>
    <w:p w14:paraId="58CF6A72">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7．正在被依法列为失信联合惩戒对象的人员；</w:t>
      </w:r>
    </w:p>
    <w:p w14:paraId="34B9F269">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8．正在受处分期间，或正在接受纪律审查或监察、司法调查尚未做出结论的人员；</w:t>
      </w:r>
    </w:p>
    <w:p w14:paraId="67C3BE70">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rPr>
        <w:t>．在读的</w:t>
      </w:r>
      <w:r>
        <w:rPr>
          <w:rFonts w:hint="eastAsia" w:ascii="Times New Roman" w:hAnsi="Times New Roman" w:eastAsia="仿宋_GB2312" w:cs="Times New Roman"/>
          <w:color w:val="auto"/>
          <w:sz w:val="32"/>
          <w:szCs w:val="32"/>
          <w:lang w:val="en-US" w:eastAsia="zh-CN"/>
        </w:rPr>
        <w:t>全日制</w:t>
      </w:r>
      <w:r>
        <w:rPr>
          <w:rFonts w:hint="eastAsia" w:ascii="Times New Roman" w:hAnsi="Times New Roman" w:eastAsia="仿宋_GB2312" w:cs="Times New Roman"/>
          <w:color w:val="auto"/>
          <w:sz w:val="32"/>
          <w:szCs w:val="32"/>
        </w:rPr>
        <w:t>研究生不得以已取得的</w:t>
      </w:r>
      <w:r>
        <w:rPr>
          <w:rFonts w:hint="eastAsia" w:ascii="Times New Roman" w:hAnsi="Times New Roman" w:eastAsia="仿宋_GB2312" w:cs="Times New Roman"/>
          <w:color w:val="auto"/>
          <w:sz w:val="32"/>
          <w:szCs w:val="32"/>
          <w:lang w:val="en-US" w:eastAsia="zh-CN"/>
        </w:rPr>
        <w:t>下一级</w:t>
      </w:r>
      <w:r>
        <w:rPr>
          <w:rFonts w:hint="eastAsia" w:ascii="Times New Roman" w:hAnsi="Times New Roman" w:eastAsia="仿宋_GB2312" w:cs="Times New Roman"/>
          <w:color w:val="auto"/>
          <w:sz w:val="32"/>
          <w:szCs w:val="32"/>
        </w:rPr>
        <w:t>学历、学位证书报考</w:t>
      </w:r>
      <w:r>
        <w:rPr>
          <w:rFonts w:hint="eastAsia" w:ascii="Times New Roman" w:hAnsi="Times New Roman" w:eastAsia="仿宋_GB2312" w:cs="Times New Roman"/>
          <w:color w:val="auto"/>
          <w:sz w:val="32"/>
          <w:szCs w:val="32"/>
          <w:lang w:eastAsia="zh-CN"/>
        </w:rPr>
        <w:t>；</w:t>
      </w:r>
    </w:p>
    <w:p w14:paraId="386F2E28">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10</w:t>
      </w:r>
      <w:r>
        <w:rPr>
          <w:rFonts w:hint="eastAsia" w:ascii="Times New Roman" w:hAnsi="Times New Roman" w:eastAsia="仿宋_GB2312" w:cs="Times New Roman"/>
          <w:color w:val="auto"/>
          <w:sz w:val="32"/>
          <w:szCs w:val="32"/>
        </w:rPr>
        <w:t>．按规定不得招聘为事业单位工作人员的其他情形的人员。</w:t>
      </w:r>
    </w:p>
    <w:p w14:paraId="088431D0">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30" w:firstLineChars="196"/>
        <w:textAlignment w:val="auto"/>
        <w:rPr>
          <w:rStyle w:val="9"/>
          <w:rFonts w:ascii="Times New Roman" w:hAnsi="Times New Roman" w:eastAsia="仿宋_GB2312" w:cs="Times New Roman"/>
          <w:color w:val="auto"/>
          <w:sz w:val="32"/>
          <w:szCs w:val="32"/>
        </w:rPr>
      </w:pPr>
      <w:r>
        <w:rPr>
          <w:rStyle w:val="9"/>
          <w:rFonts w:ascii="Times New Roman" w:hAnsi="Times New Roman" w:eastAsia="仿宋_GB2312" w:cs="Times New Roman"/>
          <w:color w:val="auto"/>
          <w:sz w:val="32"/>
          <w:szCs w:val="32"/>
        </w:rPr>
        <w:t>（二）享受待遇。</w:t>
      </w:r>
    </w:p>
    <w:p w14:paraId="39EA1D4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27" w:firstLineChars="196"/>
        <w:textAlignment w:val="auto"/>
        <w:rPr>
          <w:rFonts w:hint="default"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rPr>
        <w:t>聘用人员与学校签订聘用合同，聘用人员身份类别</w:t>
      </w:r>
      <w:r>
        <w:rPr>
          <w:rFonts w:hint="eastAsia" w:ascii="仿宋_GB2312" w:hAnsi="Times New Roman" w:eastAsia="仿宋_GB2312" w:cs="Times New Roman"/>
          <w:color w:val="auto"/>
          <w:sz w:val="32"/>
          <w:szCs w:val="32"/>
          <w:lang w:val="en-US" w:eastAsia="zh-CN"/>
        </w:rPr>
        <w:t>详见《广西幼儿师范高等专科学校2026年下半年公开招聘高层次人才岗位信息表》（附件）</w:t>
      </w:r>
      <w:r>
        <w:rPr>
          <w:rFonts w:hint="eastAsia" w:ascii="仿宋_GB2312" w:hAnsi="Times New Roman" w:eastAsia="仿宋_GB2312" w:cs="Times New Roman"/>
          <w:color w:val="auto"/>
          <w:sz w:val="32"/>
          <w:szCs w:val="32"/>
        </w:rPr>
        <w:t>，</w:t>
      </w:r>
      <w:r>
        <w:rPr>
          <w:rFonts w:hint="eastAsia" w:ascii="仿宋_GB2312" w:hAnsi="Times New Roman" w:eastAsia="仿宋_GB2312" w:cs="Times New Roman"/>
          <w:color w:val="auto"/>
          <w:sz w:val="32"/>
          <w:szCs w:val="32"/>
          <w:lang w:val="en-US" w:eastAsia="zh-CN"/>
        </w:rPr>
        <w:t>按照国家和自治区政策及学校有关规定享受相应工资福利、人才引进待遇。</w:t>
      </w:r>
    </w:p>
    <w:p w14:paraId="4757CBAB">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27" w:firstLineChars="196"/>
        <w:textAlignment w:val="auto"/>
        <w:rPr>
          <w:rFonts w:hint="eastAsia" w:ascii="黑体" w:hAnsi="Times New Roman" w:eastAsia="黑体" w:cs="Times New Roman"/>
          <w:color w:val="auto"/>
          <w:sz w:val="32"/>
          <w:szCs w:val="32"/>
        </w:rPr>
      </w:pPr>
      <w:r>
        <w:rPr>
          <w:rFonts w:hint="eastAsia" w:ascii="黑体" w:hAnsi="Times New Roman" w:eastAsia="黑体" w:cs="Times New Roman"/>
          <w:color w:val="auto"/>
          <w:sz w:val="32"/>
          <w:szCs w:val="32"/>
        </w:rPr>
        <w:t>四、信息发布地址</w:t>
      </w:r>
    </w:p>
    <w:p w14:paraId="1F169635">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 xml:space="preserve">    （一）本次公开招聘公告及拟聘人员公示</w:t>
      </w:r>
      <w:r>
        <w:rPr>
          <w:rFonts w:ascii="Times New Roman" w:hAnsi="Times New Roman" w:eastAsia="仿宋_GB2312" w:cs="Times New Roman"/>
          <w:color w:val="auto"/>
          <w:sz w:val="32"/>
          <w:szCs w:val="32"/>
        </w:rPr>
        <w:t>在广西人事考试</w:t>
      </w:r>
      <w:r>
        <w:rPr>
          <w:rFonts w:hint="eastAsia" w:ascii="Times New Roman" w:hAnsi="Times New Roman" w:eastAsia="仿宋_GB2312" w:cs="Times New Roman"/>
          <w:color w:val="auto"/>
          <w:sz w:val="32"/>
          <w:szCs w:val="32"/>
        </w:rPr>
        <w:t>网</w:t>
      </w:r>
      <w:r>
        <w:rPr>
          <w:rFonts w:ascii="Times New Roman" w:hAnsi="Times New Roman" w:eastAsia="仿宋_GB2312" w:cs="Times New Roman"/>
          <w:color w:val="auto"/>
          <w:sz w:val="32"/>
          <w:szCs w:val="32"/>
        </w:rPr>
        <w:t>（http://www.gxpta.com.cn）</w:t>
      </w:r>
      <w:r>
        <w:rPr>
          <w:rFonts w:hint="eastAsia" w:ascii="Times New Roman" w:hAnsi="Times New Roman" w:eastAsia="仿宋_GB2312" w:cs="Times New Roman"/>
          <w:color w:val="auto"/>
          <w:sz w:val="32"/>
          <w:szCs w:val="32"/>
          <w:lang w:eastAsia="zh-CN"/>
        </w:rPr>
        <w:t>、广西人才网（</w:t>
      </w:r>
      <w:r>
        <w:rPr>
          <w:rFonts w:hint="eastAsia" w:ascii="Times New Roman" w:hAnsi="Times New Roman" w:eastAsia="仿宋_GB2312" w:cs="Times New Roman"/>
          <w:color w:val="auto"/>
          <w:sz w:val="32"/>
          <w:szCs w:val="32"/>
        </w:rPr>
        <w:t>https://www.gxrc.com/</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和我校网站（</w:t>
      </w:r>
      <w:r>
        <w:rPr>
          <w:rFonts w:hint="eastAsia" w:ascii="Times New Roman" w:hAnsi="Times New Roman" w:eastAsia="仿宋_GB2312" w:cs="Times New Roman"/>
          <w:color w:val="auto"/>
          <w:sz w:val="32"/>
          <w:szCs w:val="32"/>
        </w:rPr>
        <w:t>https://www.gxyesf.edu.cn</w:t>
      </w:r>
      <w:r>
        <w:rPr>
          <w:rFonts w:ascii="Times New Roman" w:hAnsi="Times New Roman" w:eastAsia="仿宋_GB2312" w:cs="Times New Roman"/>
          <w:color w:val="auto"/>
          <w:sz w:val="32"/>
          <w:szCs w:val="32"/>
        </w:rPr>
        <w:t>）向社会</w:t>
      </w:r>
      <w:r>
        <w:rPr>
          <w:rFonts w:hint="eastAsia" w:ascii="Times New Roman" w:hAnsi="Times New Roman" w:eastAsia="仿宋_GB2312" w:cs="Times New Roman"/>
          <w:color w:val="auto"/>
          <w:sz w:val="32"/>
          <w:szCs w:val="32"/>
        </w:rPr>
        <w:t>发布</w:t>
      </w:r>
      <w:r>
        <w:rPr>
          <w:rFonts w:ascii="Times New Roman" w:hAnsi="Times New Roman" w:eastAsia="仿宋_GB2312" w:cs="Times New Roman"/>
          <w:color w:val="auto"/>
          <w:sz w:val="32"/>
          <w:szCs w:val="32"/>
        </w:rPr>
        <w:t>。</w:t>
      </w:r>
    </w:p>
    <w:p w14:paraId="117B26B7">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（二）本次公开招聘</w:t>
      </w:r>
      <w:r>
        <w:rPr>
          <w:rFonts w:hint="eastAsia" w:ascii="Times New Roman" w:hAnsi="Times New Roman" w:eastAsia="仿宋_GB2312" w:cs="Times New Roman"/>
          <w:color w:val="auto"/>
          <w:sz w:val="32"/>
          <w:szCs w:val="32"/>
          <w:lang w:val="en-US" w:eastAsia="zh-CN"/>
        </w:rPr>
        <w:t>考试时间地点、</w:t>
      </w:r>
      <w:r>
        <w:rPr>
          <w:rFonts w:hint="eastAsia" w:ascii="Times New Roman" w:hAnsi="Times New Roman" w:eastAsia="仿宋_GB2312" w:cs="Times New Roman"/>
          <w:color w:val="auto"/>
          <w:sz w:val="32"/>
          <w:szCs w:val="32"/>
        </w:rPr>
        <w:t>核减或取消招聘计划、开考比例调整、成绩公布、进入各招聘环节名单等具体事宜在我校网站</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https://www.gxyesf.edu.cn</w:t>
      </w:r>
      <w:r>
        <w:rPr>
          <w:rFonts w:ascii="Times New Roman" w:hAnsi="Times New Roman" w:eastAsia="仿宋_GB2312" w:cs="Times New Roman"/>
          <w:color w:val="auto"/>
          <w:sz w:val="32"/>
          <w:szCs w:val="32"/>
        </w:rPr>
        <w:t>）向社会</w:t>
      </w:r>
      <w:r>
        <w:rPr>
          <w:rFonts w:hint="eastAsia" w:ascii="Times New Roman" w:hAnsi="Times New Roman" w:eastAsia="仿宋_GB2312" w:cs="Times New Roman"/>
          <w:color w:val="auto"/>
          <w:sz w:val="32"/>
          <w:szCs w:val="32"/>
        </w:rPr>
        <w:t>发布</w:t>
      </w:r>
      <w:r>
        <w:rPr>
          <w:rFonts w:ascii="Times New Roman" w:hAnsi="Times New Roman" w:eastAsia="仿宋_GB2312" w:cs="Times New Roman"/>
          <w:color w:val="auto"/>
          <w:sz w:val="32"/>
          <w:szCs w:val="32"/>
        </w:rPr>
        <w:t>。</w:t>
      </w:r>
    </w:p>
    <w:p w14:paraId="772FDBEE">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报考人员在报考期间，应关注上述信息发布渠道，及时了解最新情况并保持通讯工具畅通，有疑问的应及时与学校联系咨询。因个人原因错过信息而影响考试聘用的，责任自负。</w:t>
      </w:r>
    </w:p>
    <w:p w14:paraId="637413D4">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27" w:firstLineChars="196"/>
        <w:textAlignment w:val="auto"/>
        <w:rPr>
          <w:rFonts w:hint="eastAsia" w:ascii="黑体" w:hAnsi="Times New Roman" w:eastAsia="黑体" w:cs="Times New Roman"/>
          <w:color w:val="auto"/>
          <w:sz w:val="32"/>
          <w:szCs w:val="32"/>
          <w:highlight w:val="none"/>
        </w:rPr>
      </w:pPr>
      <w:r>
        <w:rPr>
          <w:rFonts w:hint="eastAsia" w:ascii="黑体" w:hAnsi="Times New Roman" w:eastAsia="黑体" w:cs="Times New Roman"/>
          <w:color w:val="auto"/>
          <w:sz w:val="32"/>
          <w:szCs w:val="32"/>
          <w:highlight w:val="none"/>
        </w:rPr>
        <w:t>五、招聘流程</w:t>
      </w:r>
    </w:p>
    <w:p w14:paraId="528B4F4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472" w:firstLineChars="147"/>
        <w:textAlignment w:val="auto"/>
        <w:rPr>
          <w:rFonts w:ascii="Times New Roman" w:hAnsi="Times New Roman" w:eastAsia="仿宋_GB2312" w:cs="Times New Roman"/>
          <w:color w:val="auto"/>
          <w:sz w:val="32"/>
          <w:szCs w:val="32"/>
        </w:rPr>
      </w:pPr>
      <w:r>
        <w:rPr>
          <w:rStyle w:val="9"/>
          <w:rFonts w:ascii="Times New Roman" w:hAnsi="Times New Roman" w:eastAsia="仿宋_GB2312" w:cs="Times New Roman"/>
          <w:color w:val="auto"/>
          <w:sz w:val="32"/>
          <w:szCs w:val="32"/>
        </w:rPr>
        <w:t>（一）报名</w:t>
      </w:r>
      <w:r>
        <w:rPr>
          <w:rStyle w:val="9"/>
          <w:rFonts w:hint="eastAsia" w:ascii="Times New Roman" w:hAnsi="Times New Roman" w:eastAsia="仿宋_GB2312" w:cs="Times New Roman"/>
          <w:color w:val="auto"/>
          <w:sz w:val="32"/>
          <w:szCs w:val="32"/>
        </w:rPr>
        <w:t>时间</w:t>
      </w:r>
      <w:r>
        <w:rPr>
          <w:rStyle w:val="9"/>
          <w:rFonts w:ascii="Times New Roman" w:hAnsi="Times New Roman" w:eastAsia="仿宋_GB2312" w:cs="Times New Roman"/>
          <w:color w:val="auto"/>
          <w:sz w:val="32"/>
          <w:szCs w:val="32"/>
        </w:rPr>
        <w:t>和</w:t>
      </w:r>
      <w:r>
        <w:rPr>
          <w:rStyle w:val="9"/>
          <w:rFonts w:hint="eastAsia" w:ascii="Times New Roman" w:hAnsi="Times New Roman" w:eastAsia="仿宋_GB2312" w:cs="Times New Roman"/>
          <w:color w:val="auto"/>
          <w:sz w:val="32"/>
          <w:szCs w:val="32"/>
        </w:rPr>
        <w:t>报名</w:t>
      </w:r>
      <w:r>
        <w:rPr>
          <w:rStyle w:val="9"/>
          <w:rFonts w:ascii="Times New Roman" w:hAnsi="Times New Roman" w:eastAsia="仿宋_GB2312" w:cs="Times New Roman"/>
          <w:color w:val="auto"/>
          <w:sz w:val="32"/>
          <w:szCs w:val="32"/>
        </w:rPr>
        <w:t>方式</w:t>
      </w:r>
    </w:p>
    <w:p w14:paraId="5065B81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b w:val="0"/>
          <w:bCs w:val="0"/>
          <w:color w:val="auto"/>
          <w:sz w:val="32"/>
          <w:szCs w:val="32"/>
          <w:highlight w:val="none"/>
          <w:lang w:val="en-US" w:eastAsia="zh-CN"/>
        </w:rPr>
        <w:t>报名起止时间为2026年10月31日至11月20日下午17:30。</w:t>
      </w:r>
    </w:p>
    <w:p w14:paraId="0FCEC2B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2.报名方式：应聘者</w:t>
      </w:r>
      <w:r>
        <w:rPr>
          <w:rFonts w:hint="eastAsia" w:ascii="Times New Roman" w:hAnsi="Times New Roman" w:eastAsia="仿宋_GB2312" w:cs="Times New Roman"/>
          <w:color w:val="auto"/>
          <w:sz w:val="32"/>
          <w:szCs w:val="32"/>
          <w:lang w:val="en-US" w:eastAsia="zh-CN"/>
        </w:rPr>
        <w:t>登录</w:t>
      </w:r>
      <w:r>
        <w:rPr>
          <w:rFonts w:hint="eastAsia" w:ascii="Times New Roman" w:hAnsi="Times New Roman" w:eastAsia="仿宋_GB2312" w:cs="Times New Roman"/>
          <w:color w:val="auto"/>
          <w:sz w:val="32"/>
          <w:szCs w:val="32"/>
        </w:rPr>
        <w:t>广西幼儿师范高等专科学校招聘平台（https://gxyesf.gkzpfw.c</w:t>
      </w:r>
      <w:r>
        <w:rPr>
          <w:rFonts w:hint="eastAsia" w:ascii="Times New Roman" w:hAnsi="Times New Roman" w:eastAsia="仿宋_GB2312" w:cs="Times New Roman"/>
          <w:b/>
          <w:bCs/>
          <w:color w:val="auto"/>
          <w:sz w:val="32"/>
          <w:szCs w:val="32"/>
        </w:rPr>
        <w:t>o</w:t>
      </w:r>
      <w:r>
        <w:rPr>
          <w:rFonts w:hint="eastAsia" w:ascii="Times New Roman" w:hAnsi="Times New Roman" w:eastAsia="仿宋_GB2312" w:cs="Times New Roman"/>
          <w:color w:val="auto"/>
          <w:sz w:val="32"/>
          <w:szCs w:val="32"/>
        </w:rPr>
        <w:t>m/）进行注册</w:t>
      </w:r>
      <w:r>
        <w:rPr>
          <w:rFonts w:hint="eastAsia" w:ascii="Times New Roman" w:hAnsi="Times New Roman" w:eastAsia="仿宋_GB2312" w:cs="Times New Roman"/>
          <w:color w:val="auto"/>
          <w:sz w:val="32"/>
          <w:szCs w:val="32"/>
          <w:lang w:val="en-US" w:eastAsia="zh-CN"/>
        </w:rPr>
        <w:t>登录</w:t>
      </w:r>
      <w:r>
        <w:rPr>
          <w:rFonts w:hint="eastAsia" w:ascii="Times New Roman" w:hAnsi="Times New Roman" w:eastAsia="仿宋_GB2312" w:cs="Times New Roman"/>
          <w:color w:val="auto"/>
          <w:sz w:val="32"/>
          <w:szCs w:val="32"/>
        </w:rPr>
        <w:t>，完善个人基础信息、学习经历、职称信息、工作经历等后再选择应聘岗位进行报名，并对应上传个人学历学位证书图片（需证明专业方向的岗位还需提供成绩单或其他证明材料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持境外&lt;含港、澳、台&gt;学历的还需提供教育部</w:t>
      </w:r>
      <w:r>
        <w:rPr>
          <w:rFonts w:hint="eastAsia" w:ascii="Times New Roman" w:hAnsi="Times New Roman" w:eastAsia="仿宋_GB2312" w:cs="Times New Roman"/>
          <w:color w:val="auto"/>
          <w:sz w:val="32"/>
          <w:szCs w:val="32"/>
          <w:lang w:val="en-US" w:eastAsia="zh-CN"/>
        </w:rPr>
        <w:t>留学</w:t>
      </w:r>
      <w:r>
        <w:rPr>
          <w:rFonts w:hint="eastAsia" w:ascii="Times New Roman" w:hAnsi="Times New Roman" w:eastAsia="仿宋_GB2312" w:cs="Times New Roman"/>
          <w:color w:val="auto"/>
          <w:sz w:val="32"/>
          <w:szCs w:val="32"/>
        </w:rPr>
        <w:t>服务中心认证材料</w:t>
      </w:r>
      <w:r>
        <w:rPr>
          <w:rFonts w:hint="eastAsia" w:ascii="Times New Roman" w:hAnsi="Times New Roman" w:eastAsia="仿宋_GB2312" w:cs="Times New Roman"/>
          <w:color w:val="auto"/>
          <w:sz w:val="32"/>
          <w:szCs w:val="32"/>
          <w:lang w:val="en-US" w:eastAsia="zh-CN"/>
        </w:rPr>
        <w:t>和第三方专业正规翻译机构翻译成中文、加盖翻译专用章的成绩单</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highlight w:val="none"/>
        </w:rPr>
        <w:t>工作经历</w:t>
      </w:r>
      <w:r>
        <w:rPr>
          <w:rFonts w:hint="eastAsia" w:ascii="Times New Roman" w:hAnsi="Times New Roman" w:eastAsia="仿宋_GB2312" w:cs="Times New Roman"/>
          <w:color w:val="auto"/>
          <w:sz w:val="32"/>
          <w:szCs w:val="32"/>
          <w:highlight w:val="none"/>
          <w:lang w:val="en-US" w:eastAsia="zh-CN"/>
        </w:rPr>
        <w:t>必须提供社保证明材料；</w:t>
      </w:r>
      <w:r>
        <w:rPr>
          <w:rFonts w:hint="eastAsia" w:ascii="Times New Roman" w:hAnsi="Times New Roman" w:eastAsia="仿宋_GB2312" w:cs="Times New Roman"/>
          <w:color w:val="auto"/>
          <w:sz w:val="32"/>
          <w:szCs w:val="32"/>
        </w:rPr>
        <w:t>以及职称</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职业资格证书</w:t>
      </w:r>
      <w:r>
        <w:rPr>
          <w:rFonts w:hint="eastAsia" w:ascii="Times New Roman" w:hAnsi="Times New Roman" w:eastAsia="仿宋_GB2312" w:cs="Times New Roman"/>
          <w:color w:val="auto"/>
          <w:sz w:val="32"/>
          <w:szCs w:val="32"/>
        </w:rPr>
        <w:t>等其他支撑证明材料，以用于资格审核</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报名材料与要求不符的，不予受理。</w:t>
      </w:r>
    </w:p>
    <w:p w14:paraId="79297B0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3.报名要求：每个应聘者只能报名一个岗位，多报岗位或不按要求填报信息表者，均视为报名无效。</w:t>
      </w:r>
    </w:p>
    <w:p w14:paraId="041CF7D0">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报名时，报考人员应仔细阅读并理解岗位资格条件，诚信报名、诚信考试，所填写的报名信息资料必须真实、准确。因网上报名提交的申请材料不真实、不完整或者错误填写报名信息，造成资格审查、考察不通过等后果的，由报考人员自行承担责任。报考人员不得报考《事业单位人事管理回避规定》（人社部规〔2019〕1号）要求回避的岗位，报考人员与招聘单位工作人员有亲属关系及其他需要回避情形的，应当在报名时主动报告。</w:t>
      </w:r>
    </w:p>
    <w:p w14:paraId="6D3FB00C">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报考人员要合理安排报名时间，及时填写、提交并确认报名信息，避免网络拥堵等情况影响报名，报名时间截止后无法修改报考信息或改报其他岗位。</w:t>
      </w:r>
    </w:p>
    <w:p w14:paraId="3EFD9230">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3" w:firstLineChars="200"/>
        <w:textAlignment w:val="auto"/>
        <w:rPr>
          <w:rFonts w:ascii="Times New Roman" w:hAnsi="Times New Roman" w:eastAsia="仿宋_GB2312" w:cs="Times New Roman"/>
          <w:b/>
          <w:bCs/>
          <w:color w:val="auto"/>
          <w:sz w:val="32"/>
          <w:szCs w:val="32"/>
          <w:highlight w:val="none"/>
        </w:rPr>
      </w:pPr>
      <w:r>
        <w:rPr>
          <w:rFonts w:hint="eastAsia" w:ascii="Times New Roman" w:hAnsi="Times New Roman" w:eastAsia="仿宋_GB2312" w:cs="Times New Roman"/>
          <w:b/>
          <w:bCs/>
          <w:color w:val="auto"/>
          <w:sz w:val="32"/>
          <w:szCs w:val="32"/>
          <w:highlight w:val="none"/>
        </w:rPr>
        <w:t>（二）</w:t>
      </w:r>
      <w:r>
        <w:rPr>
          <w:rFonts w:ascii="Times New Roman" w:hAnsi="Times New Roman" w:eastAsia="仿宋_GB2312" w:cs="Times New Roman"/>
          <w:b/>
          <w:bCs/>
          <w:color w:val="auto"/>
          <w:sz w:val="32"/>
          <w:szCs w:val="32"/>
          <w:highlight w:val="none"/>
        </w:rPr>
        <w:t>资格审查</w:t>
      </w:r>
    </w:p>
    <w:p w14:paraId="2F75C999">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报名结束后，根据应聘人员提供的报名材料，审查应聘人员与招聘岗位是否匹配。资格审查贯穿招聘工作的全过程。应聘者所提供的材料必须真实准确，如发现应聘者的信息不符合本公告所要求的招聘资格条件的即取消其应聘资格。网上审查结果不作为确定符合岗位条件的最终依据，资格审查结果将在我校官网公布。</w:t>
      </w:r>
    </w:p>
    <w:p w14:paraId="0C87F6EA">
      <w:pPr>
        <w:keepNext w:val="0"/>
        <w:keepLines w:val="0"/>
        <w:pageBreakBefore w:val="0"/>
        <w:widowControl/>
        <w:kinsoku/>
        <w:wordWrap/>
        <w:overflowPunct/>
        <w:topLinePunct w:val="0"/>
        <w:autoSpaceDE/>
        <w:autoSpaceDN/>
        <w:bidi w:val="0"/>
        <w:adjustRightInd/>
        <w:snapToGrid/>
        <w:spacing w:line="540" w:lineRule="exact"/>
        <w:ind w:firstLine="645"/>
        <w:jc w:val="left"/>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bCs/>
          <w:color w:val="auto"/>
          <w:kern w:val="0"/>
          <w:sz w:val="32"/>
          <w:szCs w:val="32"/>
        </w:rPr>
        <w:t>（</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）考核</w:t>
      </w:r>
    </w:p>
    <w:p w14:paraId="05A91012">
      <w:pPr>
        <w:keepNext w:val="0"/>
        <w:keepLines w:val="0"/>
        <w:pageBreakBefore w:val="0"/>
        <w:widowControl/>
        <w:kinsoku/>
        <w:wordWrap/>
        <w:overflowPunct/>
        <w:topLinePunct w:val="0"/>
        <w:autoSpaceDE/>
        <w:autoSpaceDN/>
        <w:bidi w:val="0"/>
        <w:adjustRightInd/>
        <w:snapToGrid/>
        <w:spacing w:line="540" w:lineRule="exact"/>
        <w:ind w:firstLine="645"/>
        <w:jc w:val="left"/>
        <w:textAlignment w:val="auto"/>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rPr>
        <w:t>1.所有通过资格审查的报考人员为进入</w:t>
      </w:r>
      <w:r>
        <w:rPr>
          <w:rFonts w:hint="eastAsia" w:ascii="仿宋_GB2312" w:hAnsi="仿宋_GB2312" w:eastAsia="仿宋_GB2312" w:cs="仿宋_GB2312"/>
          <w:b w:val="0"/>
          <w:bCs w:val="0"/>
          <w:color w:val="auto"/>
          <w:kern w:val="0"/>
          <w:sz w:val="32"/>
          <w:szCs w:val="32"/>
          <w:lang w:val="en-US" w:eastAsia="zh-CN"/>
        </w:rPr>
        <w:t>考核</w:t>
      </w:r>
      <w:r>
        <w:rPr>
          <w:rFonts w:hint="eastAsia" w:ascii="仿宋_GB2312" w:hAnsi="仿宋_GB2312" w:eastAsia="仿宋_GB2312" w:cs="仿宋_GB2312"/>
          <w:b w:val="0"/>
          <w:bCs w:val="0"/>
          <w:color w:val="auto"/>
          <w:kern w:val="0"/>
          <w:sz w:val="32"/>
          <w:szCs w:val="32"/>
        </w:rPr>
        <w:t>范围人选</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rPr>
        <w:t>在</w:t>
      </w:r>
      <w:r>
        <w:rPr>
          <w:rFonts w:hint="eastAsia" w:ascii="仿宋_GB2312" w:hAnsi="仿宋_GB2312" w:eastAsia="仿宋_GB2312" w:cs="仿宋_GB2312"/>
          <w:b w:val="0"/>
          <w:bCs w:val="0"/>
          <w:color w:val="auto"/>
          <w:kern w:val="0"/>
          <w:sz w:val="32"/>
          <w:szCs w:val="32"/>
          <w:lang w:val="en-US" w:eastAsia="zh-CN"/>
        </w:rPr>
        <w:t>考核</w:t>
      </w:r>
      <w:r>
        <w:rPr>
          <w:rFonts w:hint="eastAsia" w:ascii="仿宋_GB2312" w:hAnsi="仿宋_GB2312" w:eastAsia="仿宋_GB2312" w:cs="仿宋_GB2312"/>
          <w:b w:val="0"/>
          <w:bCs w:val="0"/>
          <w:color w:val="auto"/>
          <w:kern w:val="0"/>
          <w:sz w:val="32"/>
          <w:szCs w:val="32"/>
        </w:rPr>
        <w:t>之前，严格按照岗位招聘条件进行资格验证。凡进入</w:t>
      </w:r>
      <w:r>
        <w:rPr>
          <w:rFonts w:hint="eastAsia" w:ascii="仿宋_GB2312" w:hAnsi="仿宋_GB2312" w:eastAsia="仿宋_GB2312" w:cs="仿宋_GB2312"/>
          <w:b w:val="0"/>
          <w:bCs w:val="0"/>
          <w:color w:val="auto"/>
          <w:kern w:val="0"/>
          <w:sz w:val="32"/>
          <w:szCs w:val="32"/>
          <w:lang w:val="en-US" w:eastAsia="zh-CN"/>
        </w:rPr>
        <w:t>考核</w:t>
      </w:r>
      <w:r>
        <w:rPr>
          <w:rFonts w:hint="eastAsia" w:ascii="仿宋_GB2312" w:hAnsi="仿宋_GB2312" w:eastAsia="仿宋_GB2312" w:cs="仿宋_GB2312"/>
          <w:b w:val="0"/>
          <w:bCs w:val="0"/>
          <w:color w:val="auto"/>
          <w:kern w:val="0"/>
          <w:sz w:val="32"/>
          <w:szCs w:val="32"/>
        </w:rPr>
        <w:t>的人员须携带</w:t>
      </w:r>
      <w:r>
        <w:rPr>
          <w:rFonts w:hint="eastAsia" w:ascii="仿宋_GB2312" w:hAnsi="仿宋_GB2312" w:eastAsia="仿宋_GB2312" w:cs="仿宋_GB2312"/>
          <w:b w:val="0"/>
          <w:bCs w:val="0"/>
          <w:color w:val="auto"/>
          <w:kern w:val="0"/>
          <w:sz w:val="32"/>
          <w:szCs w:val="32"/>
          <w:lang w:val="en-US" w:eastAsia="zh-CN"/>
        </w:rPr>
        <w:t>报名系统填报涉及的</w:t>
      </w:r>
      <w:r>
        <w:rPr>
          <w:rFonts w:hint="eastAsia" w:ascii="仿宋_GB2312" w:hAnsi="仿宋_GB2312" w:eastAsia="仿宋_GB2312" w:cs="仿宋_GB2312"/>
          <w:b w:val="0"/>
          <w:bCs w:val="0"/>
          <w:color w:val="auto"/>
          <w:kern w:val="0"/>
          <w:sz w:val="32"/>
          <w:szCs w:val="32"/>
        </w:rPr>
        <w:t>有关证件（书）原件，经学校验证无误后方能进行</w:t>
      </w:r>
      <w:r>
        <w:rPr>
          <w:rFonts w:hint="eastAsia" w:ascii="仿宋_GB2312" w:hAnsi="仿宋_GB2312" w:eastAsia="仿宋_GB2312" w:cs="仿宋_GB2312"/>
          <w:b w:val="0"/>
          <w:bCs w:val="0"/>
          <w:color w:val="auto"/>
          <w:kern w:val="0"/>
          <w:sz w:val="32"/>
          <w:szCs w:val="32"/>
          <w:lang w:val="en-US" w:eastAsia="zh-CN"/>
        </w:rPr>
        <w:t>考核</w:t>
      </w:r>
      <w:r>
        <w:rPr>
          <w:rFonts w:hint="eastAsia" w:ascii="仿宋_GB2312" w:hAnsi="仿宋_GB2312" w:eastAsia="仿宋_GB2312" w:cs="仿宋_GB2312"/>
          <w:b w:val="0"/>
          <w:bCs w:val="0"/>
          <w:color w:val="auto"/>
          <w:kern w:val="0"/>
          <w:sz w:val="32"/>
          <w:szCs w:val="32"/>
        </w:rPr>
        <w:t>。报考人员未能在学校规定时间内按要求提供真实有效证件（如身份证、毕业证、学位证、专业技术资格证、工作经历证明等相关材料）的，或</w:t>
      </w:r>
      <w:r>
        <w:rPr>
          <w:rFonts w:hint="eastAsia" w:ascii="仿宋_GB2312" w:hAnsi="仿宋_GB2312" w:eastAsia="仿宋_GB2312" w:cs="仿宋_GB2312"/>
          <w:b w:val="0"/>
          <w:bCs w:val="0"/>
          <w:color w:val="auto"/>
          <w:kern w:val="0"/>
          <w:sz w:val="32"/>
          <w:szCs w:val="32"/>
          <w:lang w:val="en-US" w:eastAsia="zh-CN"/>
        </w:rPr>
        <w:t>报名系统</w:t>
      </w:r>
      <w:r>
        <w:rPr>
          <w:rFonts w:hint="eastAsia" w:ascii="仿宋_GB2312" w:hAnsi="仿宋_GB2312" w:eastAsia="仿宋_GB2312" w:cs="仿宋_GB2312"/>
          <w:b w:val="0"/>
          <w:bCs w:val="0"/>
          <w:color w:val="auto"/>
          <w:kern w:val="0"/>
          <w:sz w:val="32"/>
          <w:szCs w:val="32"/>
        </w:rPr>
        <w:t>填写信息为虚假的，</w:t>
      </w:r>
      <w:r>
        <w:rPr>
          <w:rFonts w:hint="eastAsia" w:ascii="仿宋_GB2312" w:hAnsi="仿宋_GB2312" w:eastAsia="仿宋_GB2312" w:cs="仿宋_GB2312"/>
          <w:b w:val="0"/>
          <w:bCs w:val="0"/>
          <w:color w:val="auto"/>
          <w:kern w:val="0"/>
          <w:sz w:val="32"/>
          <w:szCs w:val="32"/>
          <w:highlight w:val="none"/>
        </w:rPr>
        <w:t>由学校取消报考人员的</w:t>
      </w:r>
      <w:r>
        <w:rPr>
          <w:rFonts w:hint="eastAsia" w:ascii="仿宋_GB2312" w:hAnsi="仿宋_GB2312" w:eastAsia="仿宋_GB2312" w:cs="仿宋_GB2312"/>
          <w:b w:val="0"/>
          <w:bCs w:val="0"/>
          <w:color w:val="auto"/>
          <w:kern w:val="0"/>
          <w:sz w:val="32"/>
          <w:szCs w:val="32"/>
          <w:highlight w:val="none"/>
          <w:lang w:val="en-US" w:eastAsia="zh-CN"/>
        </w:rPr>
        <w:t>考核</w:t>
      </w:r>
      <w:r>
        <w:rPr>
          <w:rFonts w:hint="eastAsia" w:ascii="仿宋_GB2312" w:hAnsi="仿宋_GB2312" w:eastAsia="仿宋_GB2312" w:cs="仿宋_GB2312"/>
          <w:b w:val="0"/>
          <w:bCs w:val="0"/>
          <w:color w:val="auto"/>
          <w:kern w:val="0"/>
          <w:sz w:val="32"/>
          <w:szCs w:val="32"/>
          <w:highlight w:val="none"/>
        </w:rPr>
        <w:t>资格，责任由报考人员自负。</w:t>
      </w:r>
    </w:p>
    <w:p w14:paraId="6B5A1EFD">
      <w:pPr>
        <w:keepNext w:val="0"/>
        <w:keepLines w:val="0"/>
        <w:pageBreakBefore w:val="0"/>
        <w:widowControl/>
        <w:shd w:val="clea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shd w:val="clear"/>
        </w:rPr>
        <w:t>2.</w:t>
      </w:r>
      <w:r>
        <w:rPr>
          <w:rFonts w:hint="eastAsia" w:ascii="仿宋_GB2312" w:hAnsi="仿宋_GB2312" w:eastAsia="仿宋_GB2312" w:cs="仿宋_GB2312"/>
          <w:b/>
          <w:bCs/>
          <w:color w:val="auto"/>
          <w:kern w:val="0"/>
          <w:sz w:val="32"/>
          <w:szCs w:val="32"/>
          <w:highlight w:val="none"/>
          <w:shd w:val="clear"/>
          <w:lang w:val="en-US" w:eastAsia="zh-CN"/>
        </w:rPr>
        <w:t>01-07岗位</w:t>
      </w:r>
      <w:r>
        <w:rPr>
          <w:rFonts w:hint="eastAsia" w:ascii="仿宋_GB2312" w:hAnsi="仿宋_GB2312" w:eastAsia="仿宋_GB2312" w:cs="仿宋_GB2312"/>
          <w:b w:val="0"/>
          <w:bCs w:val="0"/>
          <w:color w:val="auto"/>
          <w:kern w:val="0"/>
          <w:sz w:val="32"/>
          <w:szCs w:val="32"/>
          <w:highlight w:val="none"/>
          <w:shd w:val="clear"/>
        </w:rPr>
        <w:t>考核具体形式包括但不限于</w:t>
      </w:r>
      <w:r>
        <w:rPr>
          <w:rFonts w:hint="eastAsia" w:ascii="仿宋_GB2312" w:hAnsi="仿宋_GB2312" w:eastAsia="仿宋_GB2312" w:cs="仿宋_GB2312"/>
          <w:b w:val="0"/>
          <w:bCs w:val="0"/>
          <w:color w:val="auto"/>
          <w:kern w:val="0"/>
          <w:sz w:val="32"/>
          <w:szCs w:val="32"/>
          <w:highlight w:val="none"/>
          <w:shd w:val="clear"/>
          <w:lang w:val="en-US" w:eastAsia="zh-CN"/>
        </w:rPr>
        <w:t>现场面谈</w:t>
      </w:r>
      <w:r>
        <w:rPr>
          <w:rFonts w:hint="eastAsia" w:ascii="仿宋_GB2312" w:hAnsi="仿宋_GB2312" w:eastAsia="仿宋_GB2312" w:cs="仿宋_GB2312"/>
          <w:b w:val="0"/>
          <w:bCs w:val="0"/>
          <w:color w:val="auto"/>
          <w:kern w:val="0"/>
          <w:sz w:val="32"/>
          <w:szCs w:val="32"/>
          <w:highlight w:val="none"/>
          <w:shd w:val="clear"/>
        </w:rPr>
        <w:t>和</w:t>
      </w:r>
      <w:r>
        <w:rPr>
          <w:rFonts w:hint="eastAsia" w:ascii="仿宋_GB2312" w:hAnsi="仿宋_GB2312" w:eastAsia="仿宋_GB2312" w:cs="仿宋_GB2312"/>
          <w:b w:val="0"/>
          <w:bCs w:val="0"/>
          <w:color w:val="auto"/>
          <w:kern w:val="0"/>
          <w:sz w:val="32"/>
          <w:szCs w:val="32"/>
          <w:highlight w:val="none"/>
          <w:shd w:val="clear"/>
          <w:lang w:val="en-US" w:eastAsia="zh-CN"/>
        </w:rPr>
        <w:t>教学能力测试</w:t>
      </w:r>
      <w:r>
        <w:rPr>
          <w:rFonts w:hint="eastAsia" w:ascii="仿宋_GB2312" w:hAnsi="仿宋_GB2312" w:eastAsia="仿宋_GB2312" w:cs="仿宋_GB2312"/>
          <w:b w:val="0"/>
          <w:bCs w:val="0"/>
          <w:color w:val="auto"/>
          <w:kern w:val="0"/>
          <w:sz w:val="32"/>
          <w:szCs w:val="32"/>
          <w:highlight w:val="none"/>
          <w:shd w:val="clear"/>
        </w:rPr>
        <w:t>，</w:t>
      </w:r>
      <w:r>
        <w:rPr>
          <w:rFonts w:hint="eastAsia" w:ascii="仿宋_GB2312" w:hAnsi="仿宋_GB2312" w:eastAsia="仿宋_GB2312" w:cs="仿宋_GB2312"/>
          <w:b/>
          <w:bCs/>
          <w:color w:val="auto"/>
          <w:kern w:val="0"/>
          <w:sz w:val="32"/>
          <w:szCs w:val="32"/>
          <w:highlight w:val="none"/>
          <w:shd w:val="clear"/>
          <w:lang w:val="en-US" w:eastAsia="zh-CN"/>
        </w:rPr>
        <w:t>08岗位</w:t>
      </w:r>
      <w:r>
        <w:rPr>
          <w:rFonts w:hint="eastAsia" w:ascii="仿宋_GB2312" w:hAnsi="仿宋_GB2312" w:eastAsia="仿宋_GB2312" w:cs="仿宋_GB2312"/>
          <w:b w:val="0"/>
          <w:bCs w:val="0"/>
          <w:color w:val="auto"/>
          <w:kern w:val="0"/>
          <w:sz w:val="32"/>
          <w:szCs w:val="32"/>
          <w:highlight w:val="none"/>
          <w:shd w:val="clear"/>
          <w:lang w:val="en-US" w:eastAsia="zh-CN"/>
        </w:rPr>
        <w:t>考核具体形式为现场面谈；</w:t>
      </w:r>
      <w:r>
        <w:rPr>
          <w:rFonts w:hint="eastAsia" w:ascii="仿宋_GB2312" w:hAnsi="仿宋_GB2312" w:eastAsia="仿宋_GB2312" w:cs="仿宋_GB2312"/>
          <w:b w:val="0"/>
          <w:bCs w:val="0"/>
          <w:color w:val="auto"/>
          <w:kern w:val="0"/>
          <w:sz w:val="32"/>
          <w:szCs w:val="32"/>
          <w:highlight w:val="none"/>
          <w:shd w:val="clear"/>
        </w:rPr>
        <w:t>主要考核报考人员的教育教学能力</w:t>
      </w:r>
      <w:r>
        <w:rPr>
          <w:rFonts w:hint="eastAsia" w:ascii="仿宋_GB2312" w:hAnsi="仿宋_GB2312" w:eastAsia="仿宋_GB2312" w:cs="仿宋_GB2312"/>
          <w:b w:val="0"/>
          <w:bCs w:val="0"/>
          <w:color w:val="auto"/>
          <w:kern w:val="0"/>
          <w:sz w:val="32"/>
          <w:szCs w:val="32"/>
          <w:highlight w:val="none"/>
          <w:shd w:val="clear"/>
          <w:lang w:eastAsia="zh-CN"/>
        </w:rPr>
        <w:t>、</w:t>
      </w:r>
      <w:r>
        <w:rPr>
          <w:rFonts w:hint="eastAsia" w:ascii="仿宋_GB2312" w:hAnsi="仿宋_GB2312" w:eastAsia="仿宋_GB2312" w:cs="仿宋_GB2312"/>
          <w:b w:val="0"/>
          <w:bCs w:val="0"/>
          <w:color w:val="auto"/>
          <w:kern w:val="0"/>
          <w:sz w:val="32"/>
          <w:szCs w:val="32"/>
          <w:highlight w:val="none"/>
          <w:shd w:val="clear"/>
        </w:rPr>
        <w:t>学术水平、业务能力、工作实绩、岗位匹配度等。</w:t>
      </w:r>
      <w:r>
        <w:rPr>
          <w:rFonts w:hint="eastAsia" w:ascii="仿宋_GB2312" w:hAnsi="仿宋_GB2312" w:eastAsia="仿宋_GB2312" w:cs="仿宋_GB2312"/>
          <w:b w:val="0"/>
          <w:bCs w:val="0"/>
          <w:color w:val="auto"/>
          <w:kern w:val="0"/>
          <w:sz w:val="32"/>
          <w:szCs w:val="32"/>
          <w:highlight w:val="none"/>
          <w:shd w:val="clear"/>
          <w:lang w:val="en-US" w:eastAsia="zh-CN"/>
        </w:rPr>
        <w:t>考核成绩</w:t>
      </w:r>
      <w:r>
        <w:rPr>
          <w:rFonts w:hint="eastAsia" w:ascii="仿宋_GB2312" w:hAnsi="仿宋_GB2312" w:eastAsia="仿宋_GB2312" w:cs="仿宋_GB2312"/>
          <w:b w:val="0"/>
          <w:bCs w:val="0"/>
          <w:color w:val="auto"/>
          <w:kern w:val="0"/>
          <w:sz w:val="32"/>
          <w:szCs w:val="32"/>
          <w:highlight w:val="none"/>
          <w:shd w:val="clear"/>
        </w:rPr>
        <w:t>满分为100分，合格分数为70分</w:t>
      </w:r>
      <w:r>
        <w:rPr>
          <w:rFonts w:hint="eastAsia" w:ascii="仿宋_GB2312" w:hAnsi="仿宋_GB2312" w:eastAsia="仿宋_GB2312" w:cs="仿宋_GB2312"/>
          <w:b w:val="0"/>
          <w:bCs w:val="0"/>
          <w:color w:val="auto"/>
          <w:kern w:val="0"/>
          <w:sz w:val="32"/>
          <w:szCs w:val="32"/>
          <w:highlight w:val="none"/>
          <w:shd w:val="clear"/>
          <w:lang w:eastAsia="zh-CN"/>
        </w:rPr>
        <w:t>，</w:t>
      </w:r>
      <w:r>
        <w:rPr>
          <w:rFonts w:hint="eastAsia" w:ascii="仿宋_GB2312" w:hAnsi="仿宋_GB2312" w:eastAsia="仿宋_GB2312" w:cs="仿宋_GB2312"/>
          <w:b w:val="0"/>
          <w:bCs w:val="0"/>
          <w:color w:val="auto"/>
          <w:kern w:val="0"/>
          <w:sz w:val="32"/>
          <w:szCs w:val="32"/>
          <w:highlight w:val="none"/>
          <w:shd w:val="clear"/>
          <w:lang w:val="en-US" w:eastAsia="zh-CN"/>
        </w:rPr>
        <w:t>考生</w:t>
      </w:r>
      <w:r>
        <w:rPr>
          <w:rFonts w:hint="eastAsia" w:ascii="仿宋_GB2312" w:hAnsi="仿宋_GB2312" w:eastAsia="仿宋_GB2312" w:cs="仿宋_GB2312"/>
          <w:b w:val="0"/>
          <w:bCs w:val="0"/>
          <w:color w:val="auto"/>
          <w:kern w:val="0"/>
          <w:sz w:val="32"/>
          <w:szCs w:val="32"/>
          <w:highlight w:val="none"/>
          <w:shd w:val="clear"/>
        </w:rPr>
        <w:t>考核成绩达到70分以上（含70分）方可进入下一程序。考核</w:t>
      </w:r>
      <w:r>
        <w:rPr>
          <w:rFonts w:hint="eastAsia" w:ascii="仿宋_GB2312" w:hAnsi="仿宋_GB2312" w:eastAsia="仿宋_GB2312" w:cs="仿宋_GB2312"/>
          <w:b w:val="0"/>
          <w:bCs w:val="0"/>
          <w:color w:val="auto"/>
          <w:kern w:val="0"/>
          <w:sz w:val="32"/>
          <w:szCs w:val="32"/>
          <w:highlight w:val="none"/>
          <w:shd w:val="clear"/>
          <w:lang w:val="en-US" w:eastAsia="zh-CN"/>
        </w:rPr>
        <w:t>具体</w:t>
      </w:r>
      <w:r>
        <w:rPr>
          <w:rFonts w:hint="eastAsia" w:ascii="仿宋_GB2312" w:hAnsi="仿宋_GB2312" w:eastAsia="仿宋_GB2312" w:cs="仿宋_GB2312"/>
          <w:b w:val="0"/>
          <w:bCs w:val="0"/>
          <w:color w:val="auto"/>
          <w:kern w:val="0"/>
          <w:sz w:val="32"/>
          <w:szCs w:val="32"/>
          <w:highlight w:val="none"/>
          <w:shd w:val="clear"/>
        </w:rPr>
        <w:t>时间及地点另行通知。</w:t>
      </w:r>
    </w:p>
    <w:p w14:paraId="2BB3252A">
      <w:pPr>
        <w:keepNext w:val="0"/>
        <w:keepLines w:val="0"/>
        <w:pageBreakBefore w:val="0"/>
        <w:widowControl/>
        <w:kinsoku/>
        <w:wordWrap/>
        <w:overflowPunct/>
        <w:topLinePunct w:val="0"/>
        <w:autoSpaceDE/>
        <w:autoSpaceDN/>
        <w:bidi w:val="0"/>
        <w:adjustRightInd/>
        <w:snapToGrid/>
        <w:spacing w:line="540" w:lineRule="exact"/>
        <w:ind w:firstLine="645"/>
        <w:jc w:val="left"/>
        <w:textAlignment w:val="auto"/>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w:t>
      </w:r>
      <w:r>
        <w:rPr>
          <w:rFonts w:hint="eastAsia" w:ascii="仿宋_GB2312" w:hAnsi="仿宋_GB2312" w:eastAsia="仿宋_GB2312" w:cs="仿宋_GB2312"/>
          <w:b/>
          <w:bCs/>
          <w:color w:val="auto"/>
          <w:kern w:val="0"/>
          <w:sz w:val="32"/>
          <w:szCs w:val="32"/>
          <w:highlight w:val="none"/>
          <w:lang w:val="en-US" w:eastAsia="zh-CN"/>
        </w:rPr>
        <w:t>四</w:t>
      </w:r>
      <w:r>
        <w:rPr>
          <w:rFonts w:hint="eastAsia" w:ascii="仿宋_GB2312" w:hAnsi="仿宋_GB2312" w:eastAsia="仿宋_GB2312" w:cs="仿宋_GB2312"/>
          <w:b/>
          <w:bCs/>
          <w:color w:val="auto"/>
          <w:kern w:val="0"/>
          <w:sz w:val="32"/>
          <w:szCs w:val="32"/>
          <w:highlight w:val="none"/>
        </w:rPr>
        <w:t>）考察</w:t>
      </w:r>
    </w:p>
    <w:p w14:paraId="7702D4FD">
      <w:pPr>
        <w:keepNext w:val="0"/>
        <w:keepLines w:val="0"/>
        <w:pageBreakBefore w:val="0"/>
        <w:widowControl/>
        <w:kinsoku/>
        <w:wordWrap/>
        <w:overflowPunct/>
        <w:topLinePunct w:val="0"/>
        <w:autoSpaceDE/>
        <w:autoSpaceDN/>
        <w:bidi w:val="0"/>
        <w:adjustRightInd/>
        <w:snapToGrid/>
        <w:spacing w:line="540" w:lineRule="exact"/>
        <w:ind w:firstLine="645"/>
        <w:jc w:val="left"/>
        <w:textAlignment w:val="auto"/>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根据考核成绩由高分至低分按招聘人数1:1的比例确定考察人选</w:t>
      </w:r>
      <w:r>
        <w:rPr>
          <w:rFonts w:hint="eastAsia" w:ascii="仿宋_GB2312" w:hAnsi="仿宋_GB2312" w:eastAsia="仿宋_GB2312" w:cs="仿宋_GB2312"/>
          <w:b w:val="0"/>
          <w:bCs w:val="0"/>
          <w:color w:val="auto"/>
          <w:kern w:val="0"/>
          <w:sz w:val="32"/>
          <w:szCs w:val="32"/>
          <w:highlight w:val="none"/>
          <w:lang w:eastAsia="zh-CN"/>
        </w:rPr>
        <w:t>，比例内末位报考人员出现两人以上考核成绩并列时，以现场面谈成绩高的为确定考察人选，若现场面谈成绩相同时，一并进入考察程序。</w:t>
      </w:r>
      <w:r>
        <w:rPr>
          <w:rFonts w:hint="eastAsia" w:ascii="仿宋_GB2312" w:hAnsi="仿宋_GB2312" w:eastAsia="仿宋_GB2312" w:cs="仿宋_GB2312"/>
          <w:b w:val="0"/>
          <w:bCs w:val="0"/>
          <w:color w:val="auto"/>
          <w:kern w:val="0"/>
          <w:sz w:val="32"/>
          <w:szCs w:val="32"/>
          <w:highlight w:val="none"/>
        </w:rPr>
        <w:t>考察工作由学校组织实施，采取访谈、调查和查阅人事档案等方式着重考核报考人员的政治素质、道德品质、能力素质、心理素质、遵纪守法、诚信记录、学习和工作表现、学术和业绩成果、岗位匹配度以及需要回避等方面情况，同时对其资格条件及相关情况进行复查。</w:t>
      </w:r>
    </w:p>
    <w:p w14:paraId="7CFF947E">
      <w:pPr>
        <w:keepNext w:val="0"/>
        <w:keepLines w:val="0"/>
        <w:pageBreakBefore w:val="0"/>
        <w:widowControl/>
        <w:kinsoku/>
        <w:wordWrap/>
        <w:overflowPunct/>
        <w:topLinePunct w:val="0"/>
        <w:autoSpaceDE/>
        <w:autoSpaceDN/>
        <w:bidi w:val="0"/>
        <w:adjustRightInd/>
        <w:snapToGrid/>
        <w:spacing w:line="540" w:lineRule="exact"/>
        <w:ind w:firstLine="645"/>
        <w:jc w:val="left"/>
        <w:textAlignment w:val="auto"/>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凡是因重要档案材料不全、个人经历不明、历史状况不清而无法进行有效考察的，达不到应当具备的条件或者不符合报考职位要求的，不得确定为拟聘人选。考察不合格的，不得确定为拟聘人选。考察时间和要求另行通知。</w:t>
      </w:r>
    </w:p>
    <w:p w14:paraId="156C72FB">
      <w:pPr>
        <w:keepNext w:val="0"/>
        <w:keepLines w:val="0"/>
        <w:pageBreakBefore w:val="0"/>
        <w:widowControl/>
        <w:kinsoku/>
        <w:wordWrap/>
        <w:overflowPunct/>
        <w:topLinePunct w:val="0"/>
        <w:autoSpaceDE/>
        <w:autoSpaceDN/>
        <w:bidi w:val="0"/>
        <w:adjustRightInd/>
        <w:snapToGrid/>
        <w:spacing w:line="540" w:lineRule="exact"/>
        <w:ind w:firstLine="645"/>
        <w:jc w:val="left"/>
        <w:textAlignment w:val="auto"/>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如因报考人员个人或相关协助考核单位的原因，造成考察工作未能在规定时间内完成的，由广西</w:t>
      </w:r>
      <w:r>
        <w:rPr>
          <w:rFonts w:hint="eastAsia" w:ascii="仿宋_GB2312" w:hAnsi="仿宋_GB2312" w:eastAsia="仿宋_GB2312" w:cs="仿宋_GB2312"/>
          <w:b w:val="0"/>
          <w:bCs w:val="0"/>
          <w:color w:val="auto"/>
          <w:kern w:val="0"/>
          <w:sz w:val="32"/>
          <w:szCs w:val="32"/>
          <w:highlight w:val="none"/>
          <w:lang w:val="en-US" w:eastAsia="zh-CN"/>
        </w:rPr>
        <w:t>幼儿师范高等专科学校</w:t>
      </w:r>
      <w:r>
        <w:rPr>
          <w:rFonts w:hint="eastAsia" w:ascii="仿宋_GB2312" w:hAnsi="仿宋_GB2312" w:eastAsia="仿宋_GB2312" w:cs="仿宋_GB2312"/>
          <w:b w:val="0"/>
          <w:bCs w:val="0"/>
          <w:color w:val="auto"/>
          <w:kern w:val="0"/>
          <w:sz w:val="32"/>
          <w:szCs w:val="32"/>
          <w:highlight w:val="none"/>
        </w:rPr>
        <w:t>人事部门发出限时完成考察工作的通知，自通知发出之日起，10个工作日内仍未能配合完成考察工作的，视为报考人员自动放弃考察资格。</w:t>
      </w:r>
    </w:p>
    <w:p w14:paraId="6F8B2F55">
      <w:pPr>
        <w:keepNext w:val="0"/>
        <w:keepLines w:val="0"/>
        <w:pageBreakBefore w:val="0"/>
        <w:widowControl/>
        <w:kinsoku/>
        <w:wordWrap/>
        <w:overflowPunct/>
        <w:topLinePunct w:val="0"/>
        <w:autoSpaceDE/>
        <w:autoSpaceDN/>
        <w:bidi w:val="0"/>
        <w:adjustRightInd/>
        <w:snapToGrid/>
        <w:spacing w:line="540" w:lineRule="exact"/>
        <w:ind w:firstLine="645"/>
        <w:jc w:val="left"/>
        <w:textAlignment w:val="auto"/>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考察中出现不合格者或是报考人员自愿放弃的，由招聘工作领导小组研究确定是否从考核合格人选按考核成绩由高分至低分依次递补进行考察。</w:t>
      </w:r>
    </w:p>
    <w:p w14:paraId="75118615">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30" w:firstLineChars="196"/>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rPr>
        <w:t>）体检</w:t>
      </w:r>
    </w:p>
    <w:p w14:paraId="111771AC">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eastAsia="仿宋_GB2312"/>
          <w:color w:val="auto"/>
          <w:sz w:val="32"/>
          <w:szCs w:val="32"/>
          <w:highlight w:val="none"/>
        </w:rPr>
      </w:pPr>
      <w:r>
        <w:rPr>
          <w:rFonts w:hint="eastAsia" w:ascii="仿宋_GB2312" w:hAnsi="Times New Roman" w:eastAsia="仿宋_GB2312" w:cs="Times New Roman"/>
          <w:color w:val="auto"/>
          <w:sz w:val="32"/>
          <w:szCs w:val="32"/>
          <w:highlight w:val="none"/>
        </w:rPr>
        <w:t>根据</w:t>
      </w:r>
      <w:r>
        <w:rPr>
          <w:rFonts w:hint="eastAsia" w:ascii="仿宋_GB2312" w:hAnsi="Times New Roman" w:eastAsia="仿宋_GB2312" w:cs="Times New Roman"/>
          <w:color w:val="auto"/>
          <w:sz w:val="32"/>
          <w:szCs w:val="32"/>
          <w:highlight w:val="none"/>
          <w:lang w:val="en-US" w:eastAsia="zh-CN"/>
        </w:rPr>
        <w:t>考察</w:t>
      </w:r>
      <w:r>
        <w:rPr>
          <w:rFonts w:hint="eastAsia" w:ascii="仿宋_GB2312" w:hAnsi="Times New Roman" w:eastAsia="仿宋_GB2312" w:cs="Times New Roman"/>
          <w:color w:val="auto"/>
          <w:sz w:val="32"/>
          <w:szCs w:val="32"/>
          <w:highlight w:val="none"/>
        </w:rPr>
        <w:t>结果，按招聘岗位数</w:t>
      </w:r>
      <w:r>
        <w:rPr>
          <w:rFonts w:hint="eastAsia" w:ascii="Times New Roman" w:hAnsi="Times New Roman" w:eastAsia="仿宋_GB2312" w:cs="Times New Roman"/>
          <w:color w:val="auto"/>
          <w:sz w:val="32"/>
          <w:szCs w:val="32"/>
          <w:highlight w:val="none"/>
        </w:rPr>
        <w:t>1:1</w:t>
      </w:r>
      <w:r>
        <w:rPr>
          <w:rFonts w:hint="eastAsia" w:ascii="仿宋_GB2312" w:hAnsi="Times New Roman" w:eastAsia="仿宋_GB2312" w:cs="Times New Roman"/>
          <w:color w:val="auto"/>
          <w:sz w:val="32"/>
          <w:szCs w:val="32"/>
          <w:highlight w:val="none"/>
        </w:rPr>
        <w:t>确定体检的对象。体检工作按照《中共广西壮族自治区委员会组织部 广西壮族自治区人力资源和社会保障厅 广西壮族自治区卫生健康委员会关于进一步规范事业单位公开招聘人员体检工作有关问题的通知》（桂人社规〔2019〕11号）和《广西壮族自治区人力资源和社会保障厅 广西壮族自治区卫生健康委员会关于印发〈广西壮族自治区事业单位公开招聘人员体检通用标准（试行）〉及〈广西壮族自治区事业单位公开招聘人员体检操作手册（试行）〉的通知》（桂人社规〔2024〕3号）及参照《中共中央组织部办公厅</w:t>
      </w:r>
      <w:r>
        <w:rPr>
          <w:rFonts w:hint="eastAsia" w:ascii="仿宋_GB2312" w:hAnsi="Times New Roman"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rPr>
        <w:t>国家卫生健康委办公厅关于调整公务员录用体检有关项目检查标准的通知》执行，由学校组织报考人员到指定医院进行体检。报考人员对本人体检结果有疑问的，可以在接到体检结论通知之日起7个工作日内，提交复检书面申请。体检（含增加体检项目和复检）费用由报考人员个人承担。不按规定时间、地点参加体检者，视同自动放弃体检资格。体检合格者方可录用，体检不合格者，不予录用。如体检中出现不合格者或是报考人员自愿放弃的，由招聘工作领导小组研究确定是否从</w:t>
      </w:r>
      <w:r>
        <w:rPr>
          <w:rFonts w:hint="eastAsia" w:ascii="仿宋_GB2312" w:hAnsi="Times New Roman" w:eastAsia="仿宋_GB2312" w:cs="Times New Roman"/>
          <w:color w:val="auto"/>
          <w:sz w:val="32"/>
          <w:szCs w:val="32"/>
          <w:highlight w:val="none"/>
          <w:lang w:val="en-US" w:eastAsia="zh-CN"/>
        </w:rPr>
        <w:t>考核</w:t>
      </w:r>
      <w:r>
        <w:rPr>
          <w:rFonts w:hint="eastAsia" w:ascii="仿宋_GB2312" w:hAnsi="Times New Roman" w:eastAsia="仿宋_GB2312" w:cs="Times New Roman"/>
          <w:color w:val="auto"/>
          <w:sz w:val="32"/>
          <w:szCs w:val="32"/>
          <w:highlight w:val="none"/>
        </w:rPr>
        <w:t>合格人选按考核成绩由高分至低分依次递补进行考察、体检。</w:t>
      </w:r>
    </w:p>
    <w:p w14:paraId="54916F7D">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30" w:firstLineChars="196"/>
        <w:textAlignment w:val="auto"/>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rPr>
        <w:t>）公示和聘用</w:t>
      </w:r>
    </w:p>
    <w:p w14:paraId="5AF3F0AA">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jc w:val="both"/>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 xml:space="preserve">    1.从考核、考察、体检结果均合格的人员中择优确定拟聘人员，在广西人事考试网、广西人才网及广西幼儿师范高等专科学校网站进行公示，公示时间为5个工作日。</w:t>
      </w:r>
    </w:p>
    <w:p w14:paraId="35653CDE">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2.公示期内对拟聘人员有异议的，应及时进行复查。对公示期间反映有影响聘用的问题并查有实据的，不予聘用；对反映的问题一时难以查实的，应暂缓聘用，待查实并做出结论后再决定是否聘用。</w:t>
      </w:r>
    </w:p>
    <w:p w14:paraId="0FACE1F4">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3.公示期满，对无异议或者有异议经核实不影响聘用的，按规定办理聘用手续，签订聘用合同。公示期满后报考人员放弃聘用资格或公示有异议影响聘用的，不再递补。</w:t>
      </w:r>
    </w:p>
    <w:p w14:paraId="6B2F68AB">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color w:val="auto"/>
          <w:sz w:val="32"/>
          <w:szCs w:val="32"/>
          <w:highlight w:val="none"/>
        </w:rPr>
        <w:t>4.聘用人员应在聘用审核或备案完成之日起30日内报到，逾期未报到上班的，按自动放弃聘用资格处理，不再递补。有工作单位的报考人员应妥善处理好与原单位的人事（劳动</w:t>
      </w:r>
      <w:r>
        <w:rPr>
          <w:rFonts w:hint="eastAsia" w:ascii="Times New Roman" w:hAnsi="Times New Roman" w:eastAsia="仿宋_GB2312" w:cs="Times New Roman"/>
          <w:sz w:val="32"/>
          <w:szCs w:val="32"/>
          <w:highlight w:val="none"/>
        </w:rPr>
        <w:t>）关系，以免影响后期聘用。</w:t>
      </w:r>
    </w:p>
    <w:p w14:paraId="77B0905F">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黑体" w:hAnsi="Times New Roman" w:eastAsia="黑体" w:cs="Times New Roman"/>
          <w:sz w:val="32"/>
          <w:szCs w:val="32"/>
          <w:highlight w:val="none"/>
        </w:rPr>
      </w:pPr>
      <w:r>
        <w:rPr>
          <w:rFonts w:hint="eastAsia" w:ascii="黑体" w:hAnsi="Times New Roman" w:eastAsia="黑体" w:cs="Times New Roman"/>
          <w:sz w:val="32"/>
          <w:szCs w:val="32"/>
          <w:highlight w:val="none"/>
        </w:rPr>
        <w:t>六、纪律与监督</w:t>
      </w:r>
    </w:p>
    <w:p w14:paraId="5DC84C40">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工作人员要严格按照《事业单位人事管理回避规定》（人社部规〔2019〕1号）执行回避制度。报考人员、学校和招聘工作人员要严格遵守招聘纪律，有违纪违规行为的，按照《事业单位公开招聘违纪违规行为处理规定》（人社部令第35号）等规定处理。</w:t>
      </w:r>
    </w:p>
    <w:p w14:paraId="3D971EC3">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（二）</w:t>
      </w:r>
      <w:r>
        <w:rPr>
          <w:rFonts w:ascii="Times New Roman" w:hAnsi="Times New Roman" w:eastAsia="仿宋_GB2312" w:cs="Times New Roman"/>
          <w:sz w:val="32"/>
          <w:szCs w:val="32"/>
          <w:highlight w:val="none"/>
        </w:rPr>
        <w:t>此次</w:t>
      </w:r>
      <w:r>
        <w:rPr>
          <w:rFonts w:hint="eastAsia" w:ascii="Times New Roman" w:hAnsi="Times New Roman" w:eastAsia="仿宋_GB2312" w:cs="Times New Roman"/>
          <w:sz w:val="32"/>
          <w:szCs w:val="32"/>
          <w:highlight w:val="none"/>
        </w:rPr>
        <w:t>招聘</w:t>
      </w:r>
      <w:r>
        <w:rPr>
          <w:rFonts w:ascii="Times New Roman" w:hAnsi="Times New Roman" w:eastAsia="仿宋_GB2312" w:cs="Times New Roman"/>
          <w:sz w:val="32"/>
          <w:szCs w:val="32"/>
          <w:highlight w:val="none"/>
        </w:rPr>
        <w:t>工作严格按照公开、平等、竞争、择优的原则，采取考试与考核相结合的办法进行，实行公开招考条件、公开考试程序、公开考试结果“三公开”制度，接受社会及管理部门的监督。招聘工作监督电话：0771-</w:t>
      </w:r>
      <w:r>
        <w:rPr>
          <w:rFonts w:hint="eastAsia" w:ascii="Times New Roman" w:hAnsi="Times New Roman" w:eastAsia="仿宋_GB2312" w:cs="Times New Roman"/>
          <w:sz w:val="32"/>
          <w:szCs w:val="32"/>
          <w:highlight w:val="none"/>
        </w:rPr>
        <w:t>5786227</w:t>
      </w:r>
      <w:r>
        <w:rPr>
          <w:rFonts w:ascii="Times New Roman" w:hAnsi="Times New Roman" w:eastAsia="仿宋_GB2312" w:cs="Times New Roman"/>
          <w:sz w:val="32"/>
          <w:szCs w:val="32"/>
          <w:highlight w:val="none"/>
        </w:rPr>
        <w:t>（学校纪检监察室）</w:t>
      </w:r>
      <w:r>
        <w:rPr>
          <w:rFonts w:hint="eastAsia" w:ascii="Times New Roman" w:hAnsi="Times New Roman" w:eastAsia="仿宋_GB2312" w:cs="Times New Roman"/>
          <w:sz w:val="32"/>
          <w:szCs w:val="32"/>
          <w:highlight w:val="none"/>
        </w:rPr>
        <w:t>。</w:t>
      </w:r>
    </w:p>
    <w:p w14:paraId="72D74B3C">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27" w:firstLineChars="196"/>
        <w:textAlignment w:val="auto"/>
        <w:rPr>
          <w:rFonts w:hint="eastAsia" w:ascii="黑体" w:hAnsi="Times New Roman" w:eastAsia="黑体" w:cs="Times New Roman"/>
          <w:sz w:val="32"/>
          <w:szCs w:val="32"/>
          <w:highlight w:val="none"/>
        </w:rPr>
      </w:pPr>
      <w:r>
        <w:rPr>
          <w:rFonts w:hint="eastAsia" w:ascii="黑体" w:hAnsi="Times New Roman" w:eastAsia="黑体" w:cs="Times New Roman"/>
          <w:sz w:val="32"/>
          <w:szCs w:val="32"/>
          <w:highlight w:val="none"/>
        </w:rPr>
        <w:t>七、其他</w:t>
      </w:r>
    </w:p>
    <w:p w14:paraId="27E8A466">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联系人及咨询电话</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程老师</w:t>
      </w:r>
      <w:r>
        <w:rPr>
          <w:rFonts w:hint="eastAsia" w:ascii="Times New Roman" w:hAnsi="Times New Roman" w:eastAsia="仿宋_GB2312" w:cs="Times New Roman"/>
          <w:sz w:val="32"/>
          <w:szCs w:val="32"/>
          <w:highlight w:val="none"/>
        </w:rPr>
        <w:t>，0771—</w:t>
      </w:r>
      <w:r>
        <w:rPr>
          <w:rFonts w:hint="eastAsia" w:ascii="Times New Roman" w:hAnsi="Times New Roman" w:eastAsia="仿宋_GB2312" w:cs="Times New Roman"/>
          <w:sz w:val="32"/>
          <w:szCs w:val="32"/>
          <w:highlight w:val="none"/>
          <w:lang w:val="en-US" w:eastAsia="zh-CN"/>
        </w:rPr>
        <w:t>5841860</w:t>
      </w:r>
      <w:r>
        <w:rPr>
          <w:rFonts w:hint="eastAsia" w:ascii="Times New Roman" w:hAnsi="Times New Roman" w:eastAsia="仿宋_GB2312" w:cs="Times New Roman"/>
          <w:sz w:val="32"/>
          <w:szCs w:val="32"/>
          <w:highlight w:val="none"/>
        </w:rPr>
        <w:t>。</w:t>
      </w:r>
    </w:p>
    <w:p w14:paraId="65ECB8D4">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textAlignment w:val="auto"/>
        <w:rPr>
          <w:rFonts w:ascii="Times New Roman" w:hAnsi="Times New Roman" w:eastAsia="仿宋_GB2312" w:cs="Times New Roman"/>
          <w:sz w:val="32"/>
          <w:szCs w:val="32"/>
          <w:highlight w:val="none"/>
        </w:rPr>
      </w:pPr>
    </w:p>
    <w:p w14:paraId="6D05C74D">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附件：广西幼儿师范高等专科学校202</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下半年</w:t>
      </w:r>
      <w:r>
        <w:rPr>
          <w:rFonts w:hint="eastAsia" w:ascii="Times New Roman" w:hAnsi="Times New Roman" w:eastAsia="仿宋_GB2312" w:cs="Times New Roman"/>
          <w:sz w:val="32"/>
          <w:szCs w:val="32"/>
          <w:highlight w:val="none"/>
        </w:rPr>
        <w:t>公开招聘</w:t>
      </w:r>
      <w:r>
        <w:rPr>
          <w:rFonts w:hint="eastAsia" w:ascii="Times New Roman" w:hAnsi="Times New Roman" w:eastAsia="仿宋_GB2312" w:cs="Times New Roman"/>
          <w:sz w:val="32"/>
          <w:szCs w:val="32"/>
          <w:highlight w:val="none"/>
          <w:lang w:val="en-US" w:eastAsia="zh-CN"/>
        </w:rPr>
        <w:t>高</w:t>
      </w:r>
      <w:bookmarkStart w:id="0" w:name="_GoBack"/>
      <w:bookmarkEnd w:id="0"/>
      <w:r>
        <w:rPr>
          <w:rFonts w:hint="eastAsia" w:ascii="Times New Roman" w:hAnsi="Times New Roman" w:eastAsia="仿宋_GB2312" w:cs="Times New Roman"/>
          <w:sz w:val="32"/>
          <w:szCs w:val="32"/>
          <w:highlight w:val="none"/>
          <w:lang w:val="en-US" w:eastAsia="zh-CN"/>
        </w:rPr>
        <w:t>层次人才</w:t>
      </w:r>
      <w:r>
        <w:rPr>
          <w:rFonts w:hint="eastAsia" w:ascii="Times New Roman" w:hAnsi="Times New Roman" w:eastAsia="仿宋_GB2312" w:cs="Times New Roman"/>
          <w:sz w:val="32"/>
          <w:szCs w:val="32"/>
          <w:highlight w:val="none"/>
        </w:rPr>
        <w:t>岗位信息表</w:t>
      </w:r>
    </w:p>
    <w:p w14:paraId="3CC8CA66">
      <w:pPr>
        <w:keepNext w:val="0"/>
        <w:keepLines w:val="0"/>
        <w:pageBreakBefore w:val="0"/>
        <w:kinsoku/>
        <w:wordWrap/>
        <w:overflowPunct/>
        <w:topLinePunct w:val="0"/>
        <w:autoSpaceDE/>
        <w:autoSpaceDN/>
        <w:bidi w:val="0"/>
        <w:adjustRightInd/>
        <w:snapToGrid/>
        <w:spacing w:line="540" w:lineRule="exact"/>
        <w:textAlignment w:val="auto"/>
        <w:rPr>
          <w:rFonts w:eastAsia="仿宋_GB2312"/>
          <w:sz w:val="32"/>
          <w:szCs w:val="32"/>
          <w:highlight w:val="none"/>
        </w:rPr>
      </w:pPr>
      <w:r>
        <w:rPr>
          <w:rFonts w:hint="eastAsia" w:eastAsia="仿宋_GB2312"/>
          <w:sz w:val="32"/>
          <w:szCs w:val="32"/>
          <w:highlight w:val="none"/>
        </w:rPr>
        <w:t xml:space="preserve">                         </w:t>
      </w:r>
    </w:p>
    <w:p w14:paraId="472D81F6">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黑体" w:eastAsia="黑体"/>
          <w:sz w:val="32"/>
          <w:szCs w:val="32"/>
          <w:highlight w:val="none"/>
        </w:rPr>
      </w:pPr>
    </w:p>
    <w:p w14:paraId="101A2673">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rPr>
      </w:pPr>
      <w:r>
        <w:rPr>
          <w:rFonts w:hint="eastAsia" w:ascii="黑体" w:eastAsia="黑体"/>
          <w:sz w:val="32"/>
          <w:szCs w:val="32"/>
          <w:highlight w:val="none"/>
        </w:rPr>
        <w:t xml:space="preserve">                           </w:t>
      </w:r>
      <w:r>
        <w:rPr>
          <w:rFonts w:hint="eastAsia" w:ascii="仿宋_GB2312" w:hAnsi="仿宋_GB2312" w:eastAsia="仿宋_GB2312" w:cs="仿宋_GB2312"/>
          <w:sz w:val="32"/>
          <w:szCs w:val="32"/>
          <w:highlight w:val="none"/>
        </w:rPr>
        <w:t>广西幼儿师范高等专科学校</w:t>
      </w:r>
    </w:p>
    <w:p w14:paraId="77CF0FCB">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黑体" w:eastAsia="黑体"/>
          <w:sz w:val="32"/>
          <w:szCs w:val="32"/>
          <w:highlight w:val="none"/>
        </w:rPr>
      </w:pPr>
      <w:r>
        <w:rPr>
          <w:rFonts w:hint="eastAsia" w:ascii="仿宋_GB2312" w:hAnsi="仿宋_GB2312" w:eastAsia="仿宋_GB2312" w:cs="仿宋_GB2312"/>
          <w:sz w:val="32"/>
          <w:szCs w:val="32"/>
          <w:highlight w:val="none"/>
        </w:rPr>
        <w:t xml:space="preserve">                                 </w:t>
      </w:r>
      <w:r>
        <w:rPr>
          <w:rFonts w:hint="eastAsia" w:eastAsia="仿宋_GB2312"/>
          <w:kern w:val="0"/>
          <w:sz w:val="32"/>
          <w:szCs w:val="32"/>
          <w:highlight w:val="none"/>
        </w:rPr>
        <w:t>202</w:t>
      </w:r>
      <w:r>
        <w:rPr>
          <w:rFonts w:hint="eastAsia" w:eastAsia="仿宋_GB2312"/>
          <w:kern w:val="0"/>
          <w:sz w:val="32"/>
          <w:szCs w:val="32"/>
          <w:highlight w:val="none"/>
          <w:lang w:val="en-US" w:eastAsia="zh-CN"/>
        </w:rPr>
        <w:t>6</w:t>
      </w:r>
      <w:r>
        <w:rPr>
          <w:rFonts w:hint="eastAsia" w:eastAsia="仿宋_GB2312"/>
          <w:kern w:val="0"/>
          <w:sz w:val="32"/>
          <w:szCs w:val="32"/>
          <w:highlight w:val="none"/>
        </w:rPr>
        <w:t>年</w:t>
      </w:r>
      <w:r>
        <w:rPr>
          <w:rFonts w:hint="eastAsia" w:eastAsia="仿宋_GB2312"/>
          <w:kern w:val="0"/>
          <w:sz w:val="32"/>
          <w:szCs w:val="32"/>
          <w:highlight w:val="none"/>
          <w:lang w:val="en-US" w:eastAsia="zh-CN"/>
        </w:rPr>
        <w:t>10</w:t>
      </w:r>
      <w:r>
        <w:rPr>
          <w:rFonts w:hint="eastAsia" w:eastAsia="仿宋_GB2312"/>
          <w:kern w:val="0"/>
          <w:sz w:val="32"/>
          <w:szCs w:val="32"/>
          <w:highlight w:val="none"/>
        </w:rPr>
        <w:t>月</w:t>
      </w:r>
      <w:r>
        <w:rPr>
          <w:rFonts w:hint="eastAsia" w:eastAsia="仿宋_GB2312"/>
          <w:kern w:val="0"/>
          <w:sz w:val="32"/>
          <w:szCs w:val="32"/>
          <w:highlight w:val="none"/>
          <w:lang w:val="en-US" w:eastAsia="zh-CN"/>
        </w:rPr>
        <w:t>30</w:t>
      </w:r>
      <w:r>
        <w:rPr>
          <w:rFonts w:hint="eastAsia" w:ascii="仿宋_GB2312" w:hAnsi="仿宋_GB2312" w:eastAsia="仿宋_GB2312" w:cs="仿宋_GB2312"/>
          <w:sz w:val="32"/>
          <w:szCs w:val="32"/>
          <w:highlight w:val="none"/>
        </w:rPr>
        <w:t>日</w:t>
      </w:r>
    </w:p>
    <w:p w14:paraId="205727B8">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rPr>
        <w:sectPr>
          <w:headerReference r:id="rId3" w:type="default"/>
          <w:footerReference r:id="rId4" w:type="default"/>
          <w:footerReference r:id="rId5" w:type="even"/>
          <w:pgSz w:w="11906" w:h="16838"/>
          <w:pgMar w:top="1440" w:right="1417" w:bottom="1440" w:left="1417" w:header="851" w:footer="992" w:gutter="0"/>
          <w:pgBorders>
            <w:top w:val="none" w:sz="0" w:space="0"/>
            <w:left w:val="none" w:sz="0" w:space="0"/>
            <w:bottom w:val="none" w:sz="0" w:space="0"/>
            <w:right w:val="none" w:sz="0" w:space="0"/>
          </w:pgBorders>
          <w:cols w:space="720" w:num="1"/>
          <w:docGrid w:type="lines" w:linePitch="312" w:charSpace="0"/>
        </w:sectPr>
      </w:pPr>
    </w:p>
    <w:p w14:paraId="2032A53D">
      <w:pPr>
        <w:widowControl/>
        <w:spacing w:line="560" w:lineRule="exact"/>
        <w:rPr>
          <w:rFonts w:hint="eastAsia" w:ascii="黑体" w:eastAsia="黑体"/>
          <w:sz w:val="32"/>
          <w:szCs w:val="32"/>
          <w:highlight w:val="none"/>
        </w:rPr>
      </w:pPr>
      <w:r>
        <w:rPr>
          <w:rFonts w:hint="eastAsia" w:ascii="黑体" w:eastAsia="黑体"/>
          <w:sz w:val="32"/>
          <w:szCs w:val="32"/>
          <w:highlight w:val="none"/>
        </w:rPr>
        <w:t>附件</w:t>
      </w:r>
    </w:p>
    <w:p w14:paraId="6196317E">
      <w:pPr>
        <w:widowControl/>
        <w:spacing w:line="400" w:lineRule="exact"/>
        <w:jc w:val="center"/>
        <w:rPr>
          <w:rFonts w:hint="eastAsia"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rPr>
        <w:t>广西幼儿师范高等专科学校202</w:t>
      </w:r>
      <w:r>
        <w:rPr>
          <w:rFonts w:hint="eastAsia" w:ascii="方正小标宋简体" w:hAnsi="方正小标宋简体" w:eastAsia="方正小标宋简体" w:cs="方正小标宋简体"/>
          <w:sz w:val="32"/>
          <w:szCs w:val="32"/>
          <w:highlight w:val="none"/>
          <w:lang w:val="en-US" w:eastAsia="zh-CN"/>
        </w:rPr>
        <w:t>6</w:t>
      </w:r>
      <w:r>
        <w:rPr>
          <w:rFonts w:hint="eastAsia" w:ascii="方正小标宋简体" w:hAnsi="方正小标宋简体" w:eastAsia="方正小标宋简体" w:cs="方正小标宋简体"/>
          <w:sz w:val="32"/>
          <w:szCs w:val="32"/>
          <w:highlight w:val="none"/>
        </w:rPr>
        <w:t>年</w:t>
      </w:r>
      <w:r>
        <w:rPr>
          <w:rFonts w:hint="eastAsia" w:ascii="方正小标宋简体" w:hAnsi="方正小标宋简体" w:eastAsia="方正小标宋简体" w:cs="方正小标宋简体"/>
          <w:sz w:val="32"/>
          <w:szCs w:val="32"/>
          <w:highlight w:val="none"/>
          <w:lang w:val="en-US" w:eastAsia="zh-CN"/>
        </w:rPr>
        <w:t>下半年</w:t>
      </w:r>
      <w:r>
        <w:rPr>
          <w:rFonts w:hint="eastAsia" w:ascii="方正小标宋简体" w:hAnsi="方正小标宋简体" w:eastAsia="方正小标宋简体" w:cs="方正小标宋简体"/>
          <w:sz w:val="32"/>
          <w:szCs w:val="32"/>
          <w:highlight w:val="none"/>
        </w:rPr>
        <w:t>公开招聘</w:t>
      </w:r>
      <w:r>
        <w:rPr>
          <w:rFonts w:hint="eastAsia" w:ascii="方正小标宋简体" w:hAnsi="方正小标宋简体" w:eastAsia="方正小标宋简体" w:cs="方正小标宋简体"/>
          <w:sz w:val="32"/>
          <w:szCs w:val="32"/>
          <w:highlight w:val="none"/>
          <w:lang w:val="en-US" w:eastAsia="zh-CN"/>
        </w:rPr>
        <w:t>高层次</w:t>
      </w:r>
      <w:r>
        <w:rPr>
          <w:rFonts w:hint="eastAsia" w:ascii="方正小标宋简体" w:hAnsi="方正小标宋简体" w:eastAsia="方正小标宋简体" w:cs="方正小标宋简体"/>
          <w:sz w:val="32"/>
          <w:szCs w:val="32"/>
          <w:highlight w:val="none"/>
        </w:rPr>
        <w:t>人才岗位信息表</w:t>
      </w:r>
    </w:p>
    <w:p w14:paraId="7C997BFD">
      <w:pPr>
        <w:widowControl/>
        <w:spacing w:line="400" w:lineRule="exact"/>
        <w:jc w:val="center"/>
        <w:rPr>
          <w:rFonts w:hint="eastAsia" w:ascii="方正小标宋简体" w:hAnsi="方正小标宋简体" w:eastAsia="方正小标宋简体" w:cs="方正小标宋简体"/>
          <w:szCs w:val="21"/>
          <w:highlight w:val="none"/>
        </w:rPr>
      </w:pPr>
    </w:p>
    <w:tbl>
      <w:tblPr>
        <w:tblStyle w:val="6"/>
        <w:tblW w:w="5123" w:type="pct"/>
        <w:tblInd w:w="-206" w:type="dxa"/>
        <w:tblLayout w:type="autofit"/>
        <w:tblCellMar>
          <w:top w:w="0" w:type="dxa"/>
          <w:left w:w="108" w:type="dxa"/>
          <w:bottom w:w="0" w:type="dxa"/>
          <w:right w:w="108" w:type="dxa"/>
        </w:tblCellMar>
      </w:tblPr>
      <w:tblGrid>
        <w:gridCol w:w="675"/>
        <w:gridCol w:w="1312"/>
        <w:gridCol w:w="785"/>
        <w:gridCol w:w="1035"/>
        <w:gridCol w:w="1879"/>
        <w:gridCol w:w="829"/>
        <w:gridCol w:w="893"/>
        <w:gridCol w:w="960"/>
        <w:gridCol w:w="1070"/>
        <w:gridCol w:w="992"/>
        <w:gridCol w:w="1364"/>
        <w:gridCol w:w="931"/>
        <w:gridCol w:w="931"/>
        <w:gridCol w:w="867"/>
      </w:tblGrid>
      <w:tr w14:paraId="58D35D2A">
        <w:tblPrEx>
          <w:tblCellMar>
            <w:top w:w="0" w:type="dxa"/>
            <w:left w:w="108" w:type="dxa"/>
            <w:bottom w:w="0" w:type="dxa"/>
            <w:right w:w="108" w:type="dxa"/>
          </w:tblCellMar>
        </w:tblPrEx>
        <w:trPr>
          <w:trHeight w:val="707" w:hRule="atLeast"/>
        </w:trPr>
        <w:tc>
          <w:tcPr>
            <w:tcW w:w="232" w:type="pct"/>
            <w:tcBorders>
              <w:top w:val="single" w:color="auto" w:sz="4" w:space="0"/>
              <w:left w:val="single" w:color="auto" w:sz="4" w:space="0"/>
              <w:bottom w:val="single" w:color="auto" w:sz="4" w:space="0"/>
              <w:right w:val="single" w:color="auto" w:sz="4" w:space="0"/>
            </w:tcBorders>
            <w:noWrap w:val="0"/>
            <w:vAlign w:val="center"/>
          </w:tcPr>
          <w:p w14:paraId="46D496EA">
            <w:pPr>
              <w:widowControl/>
              <w:jc w:val="center"/>
              <w:rPr>
                <w:rFonts w:hint="eastAsia"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岗位</w:t>
            </w:r>
          </w:p>
          <w:p w14:paraId="5E55DB3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序号</w:t>
            </w:r>
          </w:p>
        </w:tc>
        <w:tc>
          <w:tcPr>
            <w:tcW w:w="451" w:type="pct"/>
            <w:tcBorders>
              <w:top w:val="single" w:color="auto" w:sz="4" w:space="0"/>
              <w:left w:val="nil"/>
              <w:bottom w:val="single" w:color="auto" w:sz="4" w:space="0"/>
              <w:right w:val="single" w:color="auto" w:sz="4" w:space="0"/>
            </w:tcBorders>
            <w:noWrap w:val="0"/>
            <w:vAlign w:val="center"/>
          </w:tcPr>
          <w:p w14:paraId="5EF81EF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岗位名称</w:t>
            </w:r>
          </w:p>
        </w:tc>
        <w:tc>
          <w:tcPr>
            <w:tcW w:w="270" w:type="pct"/>
            <w:tcBorders>
              <w:top w:val="single" w:color="auto" w:sz="4" w:space="0"/>
              <w:left w:val="nil"/>
              <w:bottom w:val="single" w:color="auto" w:sz="4" w:space="0"/>
              <w:right w:val="single" w:color="auto" w:sz="4" w:space="0"/>
            </w:tcBorders>
            <w:noWrap w:val="0"/>
            <w:vAlign w:val="center"/>
          </w:tcPr>
          <w:p w14:paraId="597012E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招聘人数</w:t>
            </w:r>
          </w:p>
        </w:tc>
        <w:tc>
          <w:tcPr>
            <w:tcW w:w="356" w:type="pct"/>
            <w:tcBorders>
              <w:top w:val="single" w:color="auto" w:sz="4" w:space="0"/>
              <w:left w:val="nil"/>
              <w:bottom w:val="single" w:color="auto" w:sz="4" w:space="0"/>
              <w:right w:val="single" w:color="auto" w:sz="4" w:space="0"/>
            </w:tcBorders>
            <w:noWrap w:val="0"/>
            <w:vAlign w:val="center"/>
          </w:tcPr>
          <w:p w14:paraId="0D6D4AA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岗位类别等级</w:t>
            </w:r>
          </w:p>
        </w:tc>
        <w:tc>
          <w:tcPr>
            <w:tcW w:w="646" w:type="pct"/>
            <w:tcBorders>
              <w:top w:val="single" w:color="auto" w:sz="4" w:space="0"/>
              <w:left w:val="nil"/>
              <w:bottom w:val="single" w:color="auto" w:sz="4" w:space="0"/>
              <w:right w:val="single" w:color="auto" w:sz="4" w:space="0"/>
            </w:tcBorders>
            <w:noWrap w:val="0"/>
            <w:vAlign w:val="center"/>
          </w:tcPr>
          <w:p w14:paraId="3FC2D4C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专 业</w:t>
            </w:r>
          </w:p>
        </w:tc>
        <w:tc>
          <w:tcPr>
            <w:tcW w:w="285" w:type="pct"/>
            <w:tcBorders>
              <w:top w:val="single" w:color="auto" w:sz="4" w:space="0"/>
              <w:left w:val="nil"/>
              <w:bottom w:val="single" w:color="auto" w:sz="4" w:space="0"/>
              <w:right w:val="single" w:color="auto" w:sz="4" w:space="0"/>
            </w:tcBorders>
            <w:noWrap w:val="0"/>
            <w:vAlign w:val="center"/>
          </w:tcPr>
          <w:p w14:paraId="307DABA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学历</w:t>
            </w:r>
          </w:p>
        </w:tc>
        <w:tc>
          <w:tcPr>
            <w:tcW w:w="307" w:type="pct"/>
            <w:tcBorders>
              <w:top w:val="single" w:color="auto" w:sz="4" w:space="0"/>
              <w:left w:val="nil"/>
              <w:bottom w:val="single" w:color="auto" w:sz="4" w:space="0"/>
              <w:right w:val="single" w:color="auto" w:sz="4" w:space="0"/>
            </w:tcBorders>
            <w:noWrap w:val="0"/>
            <w:vAlign w:val="center"/>
          </w:tcPr>
          <w:p w14:paraId="2A5A9B50">
            <w:pPr>
              <w:widowControl/>
              <w:jc w:val="center"/>
              <w:rPr>
                <w:rFonts w:hint="eastAsia"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学位</w:t>
            </w:r>
          </w:p>
        </w:tc>
        <w:tc>
          <w:tcPr>
            <w:tcW w:w="330" w:type="pct"/>
            <w:tcBorders>
              <w:top w:val="single" w:color="auto" w:sz="4" w:space="0"/>
              <w:left w:val="nil"/>
              <w:bottom w:val="single" w:color="auto" w:sz="4" w:space="0"/>
              <w:right w:val="single" w:color="auto" w:sz="4" w:space="0"/>
            </w:tcBorders>
            <w:noWrap w:val="0"/>
            <w:vAlign w:val="center"/>
          </w:tcPr>
          <w:p w14:paraId="316AE71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年龄</w:t>
            </w:r>
          </w:p>
        </w:tc>
        <w:tc>
          <w:tcPr>
            <w:tcW w:w="368" w:type="pct"/>
            <w:tcBorders>
              <w:top w:val="single" w:color="auto" w:sz="4" w:space="0"/>
              <w:left w:val="nil"/>
              <w:bottom w:val="single" w:color="auto" w:sz="4" w:space="0"/>
              <w:right w:val="single" w:color="auto" w:sz="4" w:space="0"/>
            </w:tcBorders>
            <w:noWrap w:val="0"/>
            <w:vAlign w:val="center"/>
          </w:tcPr>
          <w:p w14:paraId="384802AD">
            <w:pPr>
              <w:widowControl/>
              <w:jc w:val="center"/>
              <w:rPr>
                <w:rFonts w:hint="eastAsia" w:ascii="宋体" w:hAnsi="宋体" w:eastAsia="宋体" w:cs="宋体"/>
                <w:b/>
                <w:color w:val="auto"/>
                <w:kern w:val="0"/>
                <w:sz w:val="20"/>
                <w:szCs w:val="20"/>
                <w:highlight w:val="none"/>
              </w:rPr>
            </w:pPr>
            <w:r>
              <w:rPr>
                <w:b/>
                <w:bCs/>
                <w:color w:val="auto"/>
                <w:spacing w:val="-2"/>
                <w:sz w:val="20"/>
                <w:szCs w:val="20"/>
                <w:highlight w:val="none"/>
              </w:rPr>
              <w:t>职称或职</w:t>
            </w:r>
            <w:r>
              <w:rPr>
                <w:rFonts w:hint="eastAsia"/>
                <w:b/>
                <w:bCs/>
                <w:color w:val="auto"/>
                <w:spacing w:val="-2"/>
                <w:sz w:val="20"/>
                <w:szCs w:val="20"/>
                <w:highlight w:val="none"/>
                <w:lang w:eastAsia="zh-CN"/>
              </w:rPr>
              <w:t>（</w:t>
            </w:r>
            <w:r>
              <w:rPr>
                <w:b/>
                <w:bCs/>
                <w:color w:val="auto"/>
                <w:spacing w:val="2"/>
                <w:sz w:val="20"/>
                <w:szCs w:val="20"/>
                <w:highlight w:val="none"/>
              </w:rPr>
              <w:t>执</w:t>
            </w:r>
            <w:r>
              <w:rPr>
                <w:rFonts w:hint="eastAsia"/>
                <w:b/>
                <w:bCs/>
                <w:color w:val="auto"/>
                <w:spacing w:val="2"/>
                <w:sz w:val="20"/>
                <w:szCs w:val="20"/>
                <w:highlight w:val="none"/>
                <w:lang w:eastAsia="zh-CN"/>
              </w:rPr>
              <w:t>）</w:t>
            </w:r>
            <w:r>
              <w:rPr>
                <w:b/>
                <w:bCs/>
                <w:color w:val="auto"/>
                <w:spacing w:val="2"/>
                <w:sz w:val="20"/>
                <w:szCs w:val="20"/>
                <w:highlight w:val="none"/>
              </w:rPr>
              <w:t>业资</w:t>
            </w:r>
            <w:r>
              <w:rPr>
                <w:b/>
                <w:bCs/>
                <w:color w:val="auto"/>
                <w:sz w:val="20"/>
                <w:szCs w:val="20"/>
                <w:highlight w:val="none"/>
              </w:rPr>
              <w:t>格</w:t>
            </w:r>
          </w:p>
        </w:tc>
        <w:tc>
          <w:tcPr>
            <w:tcW w:w="341" w:type="pct"/>
            <w:tcBorders>
              <w:top w:val="single" w:color="auto" w:sz="4" w:space="0"/>
              <w:left w:val="nil"/>
              <w:bottom w:val="single" w:color="auto" w:sz="4" w:space="0"/>
              <w:right w:val="single" w:color="auto" w:sz="4" w:space="0"/>
            </w:tcBorders>
            <w:noWrap w:val="0"/>
            <w:vAlign w:val="center"/>
          </w:tcPr>
          <w:p w14:paraId="6719DA8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政治面貌</w:t>
            </w:r>
          </w:p>
        </w:tc>
        <w:tc>
          <w:tcPr>
            <w:tcW w:w="469" w:type="pct"/>
            <w:tcBorders>
              <w:top w:val="single" w:color="auto" w:sz="4" w:space="0"/>
              <w:left w:val="nil"/>
              <w:bottom w:val="single" w:color="auto" w:sz="4" w:space="0"/>
              <w:right w:val="single" w:color="auto" w:sz="4" w:space="0"/>
            </w:tcBorders>
            <w:noWrap w:val="0"/>
            <w:vAlign w:val="center"/>
          </w:tcPr>
          <w:p w14:paraId="445360D6">
            <w:pPr>
              <w:widowControl/>
              <w:jc w:val="center"/>
              <w:rPr>
                <w:rFonts w:hint="eastAsia" w:ascii="宋体" w:hAnsi="宋体" w:eastAsia="宋体" w:cs="宋体"/>
                <w:b/>
                <w:color w:val="auto"/>
                <w:kern w:val="0"/>
                <w:sz w:val="20"/>
                <w:szCs w:val="20"/>
                <w:highlight w:val="none"/>
                <w:lang w:val="en-US" w:eastAsia="zh-CN"/>
              </w:rPr>
            </w:pPr>
            <w:r>
              <w:rPr>
                <w:rFonts w:hint="eastAsia" w:ascii="宋体" w:hAnsi="宋体" w:eastAsia="宋体" w:cs="宋体"/>
                <w:b/>
                <w:color w:val="auto"/>
                <w:kern w:val="0"/>
                <w:sz w:val="20"/>
                <w:szCs w:val="20"/>
                <w:highlight w:val="none"/>
                <w:lang w:val="en-US" w:eastAsia="zh-CN"/>
              </w:rPr>
              <w:t>其他条件</w:t>
            </w:r>
          </w:p>
        </w:tc>
        <w:tc>
          <w:tcPr>
            <w:tcW w:w="320" w:type="pct"/>
            <w:tcBorders>
              <w:top w:val="single" w:color="auto" w:sz="4" w:space="0"/>
              <w:left w:val="nil"/>
              <w:bottom w:val="single" w:color="auto" w:sz="4" w:space="0"/>
              <w:right w:val="single" w:color="auto" w:sz="4" w:space="0"/>
            </w:tcBorders>
            <w:noWrap w:val="0"/>
            <w:vAlign w:val="center"/>
          </w:tcPr>
          <w:p w14:paraId="79E68B0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考试方式</w:t>
            </w:r>
          </w:p>
        </w:tc>
        <w:tc>
          <w:tcPr>
            <w:tcW w:w="320" w:type="pct"/>
            <w:tcBorders>
              <w:top w:val="single" w:color="auto" w:sz="4" w:space="0"/>
              <w:left w:val="nil"/>
              <w:bottom w:val="single" w:color="auto" w:sz="4" w:space="0"/>
              <w:right w:val="single" w:color="auto" w:sz="4" w:space="0"/>
            </w:tcBorders>
            <w:noWrap w:val="0"/>
            <w:vAlign w:val="center"/>
          </w:tcPr>
          <w:p w14:paraId="7EB82516">
            <w:pPr>
              <w:widowControl/>
              <w:jc w:val="center"/>
              <w:rPr>
                <w:rFonts w:hint="eastAsia"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用人</w:t>
            </w:r>
          </w:p>
          <w:p w14:paraId="3F9E3EB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方式</w:t>
            </w:r>
          </w:p>
        </w:tc>
        <w:tc>
          <w:tcPr>
            <w:tcW w:w="298" w:type="pct"/>
            <w:tcBorders>
              <w:top w:val="single" w:color="auto" w:sz="4" w:space="0"/>
              <w:left w:val="nil"/>
              <w:bottom w:val="single" w:color="auto" w:sz="4" w:space="0"/>
              <w:right w:val="single" w:color="auto" w:sz="4" w:space="0"/>
            </w:tcBorders>
            <w:noWrap w:val="0"/>
            <w:vAlign w:val="center"/>
          </w:tcPr>
          <w:p w14:paraId="55B818C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备注</w:t>
            </w:r>
          </w:p>
        </w:tc>
      </w:tr>
      <w:tr w14:paraId="43235003">
        <w:tblPrEx>
          <w:tblCellMar>
            <w:top w:w="0" w:type="dxa"/>
            <w:left w:w="108" w:type="dxa"/>
            <w:bottom w:w="0" w:type="dxa"/>
            <w:right w:w="108" w:type="dxa"/>
          </w:tblCellMar>
        </w:tblPrEx>
        <w:trPr>
          <w:trHeight w:val="63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DD51A7D">
            <w:pPr>
              <w:widowControl/>
              <w:jc w:val="center"/>
              <w:textAlignment w:val="center"/>
              <w:rPr>
                <w:rFonts w:hint="eastAsia" w:ascii="宋体" w:hAnsi="宋体" w:eastAsia="宋体" w:cs="宋体"/>
                <w:color w:val="auto"/>
                <w:kern w:val="0"/>
                <w:sz w:val="20"/>
                <w:szCs w:val="20"/>
                <w:highlight w:val="none"/>
              </w:rPr>
            </w:pPr>
            <w:r>
              <w:rPr>
                <w:rFonts w:hint="eastAsia" w:ascii="Times New Roman" w:hAnsi="Times New Roman" w:eastAsia="仿宋_GB2312" w:cs="Times New Roman"/>
                <w:color w:val="auto"/>
                <w:kern w:val="2"/>
                <w:sz w:val="18"/>
                <w:szCs w:val="18"/>
                <w:highlight w:val="none"/>
                <w:lang w:val="en-US" w:eastAsia="zh-CN" w:bidi="ar"/>
              </w:rPr>
              <w:t>01</w:t>
            </w:r>
          </w:p>
        </w:tc>
        <w:tc>
          <w:tcPr>
            <w:tcW w:w="451" w:type="pct"/>
            <w:tcBorders>
              <w:top w:val="single" w:color="auto" w:sz="4" w:space="0"/>
              <w:left w:val="nil"/>
              <w:bottom w:val="single" w:color="auto" w:sz="4" w:space="0"/>
              <w:right w:val="single" w:color="auto" w:sz="4" w:space="0"/>
            </w:tcBorders>
            <w:noWrap w:val="0"/>
            <w:vAlign w:val="center"/>
          </w:tcPr>
          <w:p w14:paraId="79807A90">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color w:val="auto"/>
                <w:sz w:val="20"/>
                <w:szCs w:val="20"/>
                <w:highlight w:val="none"/>
              </w:rPr>
              <w:t>马克思主义学院思政教师</w:t>
            </w:r>
          </w:p>
        </w:tc>
        <w:tc>
          <w:tcPr>
            <w:tcW w:w="270" w:type="pct"/>
            <w:tcBorders>
              <w:top w:val="single" w:color="auto" w:sz="4" w:space="0"/>
              <w:left w:val="nil"/>
              <w:bottom w:val="single" w:color="auto" w:sz="4" w:space="0"/>
              <w:right w:val="single" w:color="auto" w:sz="4" w:space="0"/>
            </w:tcBorders>
            <w:noWrap w:val="0"/>
            <w:vAlign w:val="center"/>
          </w:tcPr>
          <w:p w14:paraId="2987E38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eastAsia="zh-CN"/>
              </w:rPr>
            </w:pPr>
            <w:r>
              <w:rPr>
                <w:rFonts w:hint="eastAsia" w:ascii="宋体" w:hAnsi="宋体" w:eastAsia="宋体" w:cs="宋体"/>
                <w:i w:val="0"/>
                <w:iCs w:val="0"/>
                <w:color w:val="auto"/>
                <w:kern w:val="0"/>
                <w:sz w:val="20"/>
                <w:szCs w:val="20"/>
                <w:highlight w:val="none"/>
                <w:u w:val="none"/>
                <w:lang w:val="en-US" w:eastAsia="zh-CN" w:bidi="ar"/>
              </w:rPr>
              <w:t>1</w:t>
            </w:r>
          </w:p>
        </w:tc>
        <w:tc>
          <w:tcPr>
            <w:tcW w:w="356" w:type="pct"/>
            <w:tcBorders>
              <w:top w:val="single" w:color="auto" w:sz="4" w:space="0"/>
              <w:left w:val="nil"/>
              <w:bottom w:val="single" w:color="auto" w:sz="4" w:space="0"/>
              <w:right w:val="single" w:color="auto" w:sz="4" w:space="0"/>
            </w:tcBorders>
            <w:noWrap w:val="0"/>
            <w:vAlign w:val="center"/>
          </w:tcPr>
          <w:p w14:paraId="2CACAE42">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noWrap w:val="0"/>
            <w:vAlign w:val="center"/>
          </w:tcPr>
          <w:p w14:paraId="11FF5262">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马克思主义理论类，中共党史党建学、中共党史</w:t>
            </w:r>
            <w:r>
              <w:rPr>
                <w:rFonts w:hint="eastAsia" w:ascii="宋体" w:hAnsi="宋体" w:cs="宋体"/>
                <w:i w:val="0"/>
                <w:iCs w:val="0"/>
                <w:color w:val="auto"/>
                <w:kern w:val="0"/>
                <w:sz w:val="20"/>
                <w:szCs w:val="20"/>
                <w:highlight w:val="none"/>
                <w:u w:val="none"/>
                <w:lang w:val="en-US" w:eastAsia="zh-CN" w:bidi="ar"/>
              </w:rPr>
              <w:t>、科学社会主义与国际共产主义运动、马克思主义理论与思想政治教育</w:t>
            </w:r>
          </w:p>
        </w:tc>
        <w:tc>
          <w:tcPr>
            <w:tcW w:w="285" w:type="pct"/>
            <w:tcBorders>
              <w:top w:val="single" w:color="auto" w:sz="4" w:space="0"/>
              <w:left w:val="nil"/>
              <w:bottom w:val="single" w:color="auto" w:sz="4" w:space="0"/>
              <w:right w:val="single" w:color="auto" w:sz="4" w:space="0"/>
            </w:tcBorders>
            <w:noWrap w:val="0"/>
            <w:vAlign w:val="center"/>
          </w:tcPr>
          <w:p w14:paraId="53082C83">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研究生</w:t>
            </w:r>
          </w:p>
        </w:tc>
        <w:tc>
          <w:tcPr>
            <w:tcW w:w="307" w:type="pct"/>
            <w:tcBorders>
              <w:top w:val="single" w:color="auto" w:sz="4" w:space="0"/>
              <w:left w:val="nil"/>
              <w:bottom w:val="single" w:color="auto" w:sz="4" w:space="0"/>
              <w:right w:val="single" w:color="auto" w:sz="4" w:space="0"/>
            </w:tcBorders>
            <w:noWrap w:val="0"/>
            <w:vAlign w:val="center"/>
          </w:tcPr>
          <w:p w14:paraId="7697C7B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博士</w:t>
            </w:r>
          </w:p>
        </w:tc>
        <w:tc>
          <w:tcPr>
            <w:tcW w:w="330" w:type="pct"/>
            <w:tcBorders>
              <w:top w:val="single" w:color="auto" w:sz="4" w:space="0"/>
              <w:left w:val="nil"/>
              <w:bottom w:val="single" w:color="auto" w:sz="4" w:space="0"/>
              <w:right w:val="single" w:color="auto" w:sz="4" w:space="0"/>
            </w:tcBorders>
            <w:noWrap w:val="0"/>
            <w:vAlign w:val="center"/>
          </w:tcPr>
          <w:p w14:paraId="0C1BDBDB">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noWrap w:val="0"/>
            <w:vAlign w:val="center"/>
          </w:tcPr>
          <w:p w14:paraId="29F8087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341" w:type="pct"/>
            <w:tcBorders>
              <w:top w:val="single" w:color="auto" w:sz="4" w:space="0"/>
              <w:left w:val="nil"/>
              <w:bottom w:val="single" w:color="auto" w:sz="4" w:space="0"/>
              <w:right w:val="single" w:color="auto" w:sz="4" w:space="0"/>
            </w:tcBorders>
            <w:noWrap w:val="0"/>
            <w:vAlign w:val="center"/>
          </w:tcPr>
          <w:p w14:paraId="2F4D29E8">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中共党员</w:t>
            </w:r>
          </w:p>
        </w:tc>
        <w:tc>
          <w:tcPr>
            <w:tcW w:w="469" w:type="pct"/>
            <w:tcBorders>
              <w:top w:val="single" w:color="auto" w:sz="4" w:space="0"/>
              <w:left w:val="nil"/>
              <w:bottom w:val="single" w:color="auto" w:sz="4" w:space="0"/>
              <w:right w:val="single" w:color="auto" w:sz="4" w:space="0"/>
            </w:tcBorders>
            <w:noWrap w:val="0"/>
            <w:vAlign w:val="center"/>
          </w:tcPr>
          <w:p w14:paraId="00CE60A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无</w:t>
            </w:r>
          </w:p>
        </w:tc>
        <w:tc>
          <w:tcPr>
            <w:tcW w:w="320" w:type="pct"/>
            <w:tcBorders>
              <w:top w:val="single" w:color="auto" w:sz="4" w:space="0"/>
              <w:left w:val="nil"/>
              <w:bottom w:val="single" w:color="auto" w:sz="4" w:space="0"/>
              <w:right w:val="single" w:color="auto" w:sz="4" w:space="0"/>
            </w:tcBorders>
            <w:noWrap w:val="0"/>
            <w:vAlign w:val="center"/>
          </w:tcPr>
          <w:p w14:paraId="145E0549">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523C89AC">
            <w:pPr>
              <w:keepNext w:val="0"/>
              <w:keepLines w:val="0"/>
              <w:widowControl/>
              <w:suppressLineNumbers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事业编制</w:t>
            </w:r>
          </w:p>
        </w:tc>
        <w:tc>
          <w:tcPr>
            <w:tcW w:w="298" w:type="pct"/>
            <w:vMerge w:val="restart"/>
            <w:tcBorders>
              <w:top w:val="single" w:color="auto" w:sz="4" w:space="0"/>
              <w:left w:val="nil"/>
              <w:right w:val="single" w:color="auto" w:sz="4" w:space="0"/>
            </w:tcBorders>
            <w:noWrap w:val="0"/>
            <w:vAlign w:val="center"/>
          </w:tcPr>
          <w:p w14:paraId="0BDFFC3C">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根据拟聘人员实际情况按</w:t>
            </w:r>
            <w:r>
              <w:rPr>
                <w:rFonts w:hint="eastAsia" w:ascii="宋体" w:hAnsi="宋体" w:cs="宋体"/>
                <w:color w:val="auto"/>
                <w:kern w:val="0"/>
                <w:sz w:val="20"/>
                <w:szCs w:val="20"/>
                <w:highlight w:val="none"/>
                <w:lang w:val="en-US" w:eastAsia="zh-CN"/>
              </w:rPr>
              <w:t>管理规定确定岗位等级</w:t>
            </w:r>
          </w:p>
        </w:tc>
      </w:tr>
      <w:tr w14:paraId="43BF67CF">
        <w:tblPrEx>
          <w:tblCellMar>
            <w:top w:w="0" w:type="dxa"/>
            <w:left w:w="108" w:type="dxa"/>
            <w:bottom w:w="0" w:type="dxa"/>
            <w:right w:w="108" w:type="dxa"/>
          </w:tblCellMar>
        </w:tblPrEx>
        <w:trPr>
          <w:trHeight w:val="1428"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493D40C">
            <w:pPr>
              <w:widowControl/>
              <w:jc w:val="center"/>
              <w:textAlignment w:val="center"/>
              <w:rPr>
                <w:rFonts w:hint="eastAsia" w:ascii="宋体" w:hAnsi="宋体" w:eastAsia="宋体" w:cs="宋体"/>
                <w:color w:val="auto"/>
                <w:kern w:val="0"/>
                <w:sz w:val="20"/>
                <w:szCs w:val="20"/>
                <w:highlight w:val="none"/>
              </w:rPr>
            </w:pPr>
            <w:r>
              <w:rPr>
                <w:rFonts w:hint="eastAsia" w:ascii="Times New Roman" w:hAnsi="Times New Roman" w:eastAsia="仿宋_GB2312" w:cs="Times New Roman"/>
                <w:color w:val="auto"/>
                <w:kern w:val="2"/>
                <w:sz w:val="18"/>
                <w:szCs w:val="18"/>
                <w:highlight w:val="none"/>
                <w:lang w:val="en-US" w:eastAsia="zh-CN" w:bidi="ar"/>
              </w:rPr>
              <w:t>02</w:t>
            </w:r>
          </w:p>
        </w:tc>
        <w:tc>
          <w:tcPr>
            <w:tcW w:w="451" w:type="pct"/>
            <w:tcBorders>
              <w:top w:val="single" w:color="auto" w:sz="4" w:space="0"/>
              <w:left w:val="nil"/>
              <w:bottom w:val="single" w:color="auto" w:sz="4" w:space="0"/>
              <w:right w:val="single" w:color="auto" w:sz="4" w:space="0"/>
            </w:tcBorders>
            <w:noWrap w:val="0"/>
            <w:vAlign w:val="center"/>
          </w:tcPr>
          <w:p w14:paraId="65134C3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rPr>
            </w:pPr>
            <w:r>
              <w:rPr>
                <w:rFonts w:hint="eastAsia"/>
                <w:color w:val="auto"/>
                <w:sz w:val="20"/>
                <w:szCs w:val="20"/>
                <w:highlight w:val="none"/>
              </w:rPr>
              <w:t>特殊教育学院专任教师1</w:t>
            </w:r>
          </w:p>
        </w:tc>
        <w:tc>
          <w:tcPr>
            <w:tcW w:w="270" w:type="pct"/>
            <w:tcBorders>
              <w:top w:val="single" w:color="auto" w:sz="4" w:space="0"/>
              <w:left w:val="nil"/>
              <w:bottom w:val="single" w:color="auto" w:sz="4" w:space="0"/>
              <w:right w:val="single" w:color="auto" w:sz="4" w:space="0"/>
            </w:tcBorders>
            <w:noWrap w:val="0"/>
            <w:vAlign w:val="center"/>
          </w:tcPr>
          <w:p w14:paraId="40593B44">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356" w:type="pct"/>
            <w:tcBorders>
              <w:top w:val="single" w:color="auto" w:sz="4" w:space="0"/>
              <w:left w:val="nil"/>
              <w:bottom w:val="single" w:color="auto" w:sz="4" w:space="0"/>
              <w:right w:val="single" w:color="auto" w:sz="4" w:space="0"/>
            </w:tcBorders>
            <w:noWrap w:val="0"/>
            <w:vAlign w:val="center"/>
          </w:tcPr>
          <w:p w14:paraId="49868A4B">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noWrap w:val="0"/>
            <w:vAlign w:val="center"/>
          </w:tcPr>
          <w:p w14:paraId="14F03EBA">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认知神经科学</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发展与教育心理学</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应用心理学</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心理学</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应用心理</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心理健康教育</w:t>
            </w:r>
          </w:p>
        </w:tc>
        <w:tc>
          <w:tcPr>
            <w:tcW w:w="285" w:type="pct"/>
            <w:tcBorders>
              <w:top w:val="single" w:color="auto" w:sz="4" w:space="0"/>
              <w:left w:val="nil"/>
              <w:bottom w:val="single" w:color="auto" w:sz="4" w:space="0"/>
              <w:right w:val="single" w:color="auto" w:sz="4" w:space="0"/>
            </w:tcBorders>
            <w:noWrap w:val="0"/>
            <w:vAlign w:val="center"/>
          </w:tcPr>
          <w:p w14:paraId="45AFBEF8">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研究生</w:t>
            </w:r>
          </w:p>
        </w:tc>
        <w:tc>
          <w:tcPr>
            <w:tcW w:w="307" w:type="pct"/>
            <w:tcBorders>
              <w:top w:val="single" w:color="auto" w:sz="4" w:space="0"/>
              <w:left w:val="nil"/>
              <w:bottom w:val="single" w:color="auto" w:sz="4" w:space="0"/>
              <w:right w:val="single" w:color="auto" w:sz="4" w:space="0"/>
            </w:tcBorders>
            <w:noWrap w:val="0"/>
            <w:vAlign w:val="center"/>
          </w:tcPr>
          <w:p w14:paraId="764EACB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博士</w:t>
            </w:r>
          </w:p>
        </w:tc>
        <w:tc>
          <w:tcPr>
            <w:tcW w:w="330" w:type="pct"/>
            <w:tcBorders>
              <w:top w:val="single" w:color="auto" w:sz="4" w:space="0"/>
              <w:left w:val="nil"/>
              <w:bottom w:val="single" w:color="auto" w:sz="4" w:space="0"/>
              <w:right w:val="single" w:color="auto" w:sz="4" w:space="0"/>
            </w:tcBorders>
            <w:noWrap w:val="0"/>
            <w:vAlign w:val="center"/>
          </w:tcPr>
          <w:p w14:paraId="1556EE95">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noWrap w:val="0"/>
            <w:vAlign w:val="center"/>
          </w:tcPr>
          <w:p w14:paraId="67A7ECB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341" w:type="pct"/>
            <w:tcBorders>
              <w:top w:val="single" w:color="auto" w:sz="4" w:space="0"/>
              <w:left w:val="nil"/>
              <w:bottom w:val="single" w:color="auto" w:sz="4" w:space="0"/>
              <w:right w:val="single" w:color="auto" w:sz="4" w:space="0"/>
            </w:tcBorders>
            <w:noWrap w:val="0"/>
            <w:vAlign w:val="center"/>
          </w:tcPr>
          <w:p w14:paraId="17BB335F">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不限</w:t>
            </w:r>
          </w:p>
        </w:tc>
        <w:tc>
          <w:tcPr>
            <w:tcW w:w="469" w:type="pct"/>
            <w:tcBorders>
              <w:top w:val="single" w:color="auto" w:sz="4" w:space="0"/>
              <w:left w:val="nil"/>
              <w:bottom w:val="single" w:color="auto" w:sz="4" w:space="0"/>
              <w:right w:val="single" w:color="auto" w:sz="4" w:space="0"/>
            </w:tcBorders>
            <w:noWrap w:val="0"/>
            <w:vAlign w:val="center"/>
          </w:tcPr>
          <w:p w14:paraId="62F4095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具有副高及以上职称的，学历学位可放宽到研究生、硕士</w:t>
            </w:r>
          </w:p>
        </w:tc>
        <w:tc>
          <w:tcPr>
            <w:tcW w:w="320" w:type="pct"/>
            <w:tcBorders>
              <w:top w:val="single" w:color="auto" w:sz="4" w:space="0"/>
              <w:left w:val="nil"/>
              <w:bottom w:val="single" w:color="auto" w:sz="4" w:space="0"/>
              <w:right w:val="single" w:color="auto" w:sz="4" w:space="0"/>
            </w:tcBorders>
            <w:noWrap w:val="0"/>
            <w:vAlign w:val="center"/>
          </w:tcPr>
          <w:p w14:paraId="4C2C0C45">
            <w:pPr>
              <w:widowControl/>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28700666">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lang w:val="en-US" w:eastAsia="zh-CN"/>
              </w:rPr>
              <w:t>事业编制</w:t>
            </w:r>
          </w:p>
        </w:tc>
        <w:tc>
          <w:tcPr>
            <w:tcW w:w="298" w:type="pct"/>
            <w:vMerge w:val="continue"/>
            <w:tcBorders>
              <w:left w:val="nil"/>
              <w:right w:val="single" w:color="auto" w:sz="4" w:space="0"/>
            </w:tcBorders>
            <w:noWrap w:val="0"/>
            <w:vAlign w:val="center"/>
          </w:tcPr>
          <w:p w14:paraId="066A4100">
            <w:pPr>
              <w:widowControl/>
              <w:jc w:val="center"/>
              <w:textAlignment w:val="center"/>
              <w:rPr>
                <w:rFonts w:hint="eastAsia" w:ascii="宋体" w:hAnsi="宋体" w:eastAsia="宋体" w:cs="宋体"/>
                <w:color w:val="auto"/>
                <w:kern w:val="0"/>
                <w:sz w:val="20"/>
                <w:szCs w:val="20"/>
                <w:highlight w:val="none"/>
              </w:rPr>
            </w:pPr>
          </w:p>
        </w:tc>
      </w:tr>
      <w:tr w14:paraId="6FD7C026">
        <w:tblPrEx>
          <w:tblCellMar>
            <w:top w:w="0" w:type="dxa"/>
            <w:left w:w="108" w:type="dxa"/>
            <w:bottom w:w="0" w:type="dxa"/>
            <w:right w:w="108" w:type="dxa"/>
          </w:tblCellMar>
        </w:tblPrEx>
        <w:trPr>
          <w:trHeight w:val="800"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5481095">
            <w:pPr>
              <w:widowControl/>
              <w:jc w:val="center"/>
              <w:textAlignment w:val="center"/>
              <w:rPr>
                <w:rFonts w:hint="eastAsia" w:ascii="宋体" w:hAnsi="宋体" w:eastAsia="宋体" w:cs="宋体"/>
                <w:color w:val="auto"/>
                <w:kern w:val="0"/>
                <w:sz w:val="20"/>
                <w:szCs w:val="20"/>
                <w:highlight w:val="none"/>
                <w:lang w:bidi="ar"/>
              </w:rPr>
            </w:pPr>
            <w:r>
              <w:rPr>
                <w:rFonts w:hint="eastAsia" w:ascii="Times New Roman" w:hAnsi="Times New Roman" w:eastAsia="仿宋_GB2312" w:cs="Times New Roman"/>
                <w:color w:val="auto"/>
                <w:kern w:val="2"/>
                <w:sz w:val="18"/>
                <w:szCs w:val="18"/>
                <w:highlight w:val="none"/>
                <w:lang w:val="en-US" w:eastAsia="zh-CN" w:bidi="ar"/>
              </w:rPr>
              <w:t>03</w:t>
            </w:r>
          </w:p>
        </w:tc>
        <w:tc>
          <w:tcPr>
            <w:tcW w:w="451" w:type="pct"/>
            <w:tcBorders>
              <w:top w:val="single" w:color="auto" w:sz="4" w:space="0"/>
              <w:left w:val="nil"/>
              <w:bottom w:val="single" w:color="auto" w:sz="4" w:space="0"/>
              <w:right w:val="single" w:color="auto" w:sz="4" w:space="0"/>
            </w:tcBorders>
            <w:noWrap w:val="0"/>
            <w:vAlign w:val="center"/>
          </w:tcPr>
          <w:p w14:paraId="78C8FAD9">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color w:val="auto"/>
                <w:sz w:val="20"/>
                <w:szCs w:val="20"/>
                <w:highlight w:val="none"/>
              </w:rPr>
              <w:t>特殊教育学院专任教师2</w:t>
            </w:r>
          </w:p>
        </w:tc>
        <w:tc>
          <w:tcPr>
            <w:tcW w:w="270" w:type="pct"/>
            <w:tcBorders>
              <w:top w:val="single" w:color="auto" w:sz="4" w:space="0"/>
              <w:left w:val="nil"/>
              <w:bottom w:val="single" w:color="auto" w:sz="4" w:space="0"/>
              <w:right w:val="single" w:color="auto" w:sz="4" w:space="0"/>
            </w:tcBorders>
            <w:noWrap w:val="0"/>
            <w:vAlign w:val="center"/>
          </w:tcPr>
          <w:p w14:paraId="150F97D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356" w:type="pct"/>
            <w:tcBorders>
              <w:top w:val="single" w:color="auto" w:sz="4" w:space="0"/>
              <w:left w:val="nil"/>
              <w:bottom w:val="single" w:color="auto" w:sz="4" w:space="0"/>
              <w:right w:val="single" w:color="auto" w:sz="4" w:space="0"/>
            </w:tcBorders>
            <w:noWrap w:val="0"/>
            <w:vAlign w:val="center"/>
          </w:tcPr>
          <w:p w14:paraId="1451EB7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noWrap w:val="0"/>
            <w:vAlign w:val="center"/>
          </w:tcPr>
          <w:p w14:paraId="7ABC651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bidi="ar"/>
              </w:rPr>
            </w:pPr>
            <w:r>
              <w:rPr>
                <w:rFonts w:hint="eastAsia" w:ascii="宋体" w:hAnsi="宋体" w:eastAsia="宋体" w:cs="宋体"/>
                <w:i w:val="0"/>
                <w:iCs w:val="0"/>
                <w:color w:val="auto"/>
                <w:kern w:val="0"/>
                <w:sz w:val="20"/>
                <w:szCs w:val="20"/>
                <w:highlight w:val="none"/>
                <w:u w:val="none"/>
                <w:lang w:val="en-US" w:eastAsia="zh-CN" w:bidi="ar"/>
              </w:rPr>
              <w:t>教育学</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特殊教育学</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教育管理</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课程与教学论</w:t>
            </w:r>
          </w:p>
        </w:tc>
        <w:tc>
          <w:tcPr>
            <w:tcW w:w="285" w:type="pct"/>
            <w:tcBorders>
              <w:top w:val="single" w:color="auto" w:sz="4" w:space="0"/>
              <w:left w:val="nil"/>
              <w:bottom w:val="single" w:color="auto" w:sz="4" w:space="0"/>
              <w:right w:val="single" w:color="auto" w:sz="4" w:space="0"/>
            </w:tcBorders>
            <w:noWrap w:val="0"/>
            <w:vAlign w:val="center"/>
          </w:tcPr>
          <w:p w14:paraId="2D9C6DC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研究生</w:t>
            </w:r>
          </w:p>
        </w:tc>
        <w:tc>
          <w:tcPr>
            <w:tcW w:w="307" w:type="pct"/>
            <w:tcBorders>
              <w:top w:val="single" w:color="auto" w:sz="4" w:space="0"/>
              <w:left w:val="nil"/>
              <w:bottom w:val="single" w:color="auto" w:sz="4" w:space="0"/>
              <w:right w:val="single" w:color="auto" w:sz="4" w:space="0"/>
            </w:tcBorders>
            <w:noWrap w:val="0"/>
            <w:vAlign w:val="center"/>
          </w:tcPr>
          <w:p w14:paraId="57D91AE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博士</w:t>
            </w:r>
          </w:p>
        </w:tc>
        <w:tc>
          <w:tcPr>
            <w:tcW w:w="330" w:type="pct"/>
            <w:tcBorders>
              <w:top w:val="single" w:color="auto" w:sz="4" w:space="0"/>
              <w:left w:val="nil"/>
              <w:bottom w:val="single" w:color="auto" w:sz="4" w:space="0"/>
              <w:right w:val="single" w:color="auto" w:sz="4" w:space="0"/>
            </w:tcBorders>
            <w:noWrap w:val="0"/>
            <w:vAlign w:val="center"/>
          </w:tcPr>
          <w:p w14:paraId="633444C5">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noWrap w:val="0"/>
            <w:vAlign w:val="center"/>
          </w:tcPr>
          <w:p w14:paraId="7A2B086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341" w:type="pct"/>
            <w:tcBorders>
              <w:top w:val="single" w:color="auto" w:sz="4" w:space="0"/>
              <w:left w:val="nil"/>
              <w:bottom w:val="single" w:color="auto" w:sz="4" w:space="0"/>
              <w:right w:val="single" w:color="auto" w:sz="4" w:space="0"/>
            </w:tcBorders>
            <w:noWrap w:val="0"/>
            <w:vAlign w:val="center"/>
          </w:tcPr>
          <w:p w14:paraId="6A53621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469" w:type="pct"/>
            <w:tcBorders>
              <w:top w:val="single" w:color="auto" w:sz="4" w:space="0"/>
              <w:left w:val="nil"/>
              <w:bottom w:val="single" w:color="auto" w:sz="4" w:space="0"/>
              <w:right w:val="single" w:color="auto" w:sz="4" w:space="0"/>
            </w:tcBorders>
            <w:noWrap w:val="0"/>
            <w:vAlign w:val="center"/>
          </w:tcPr>
          <w:p w14:paraId="408DC50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具有副高及以上职称的，学历学位可放宽到研究生、硕士</w:t>
            </w:r>
          </w:p>
        </w:tc>
        <w:tc>
          <w:tcPr>
            <w:tcW w:w="320" w:type="pct"/>
            <w:tcBorders>
              <w:top w:val="single" w:color="auto" w:sz="4" w:space="0"/>
              <w:left w:val="nil"/>
              <w:bottom w:val="single" w:color="auto" w:sz="4" w:space="0"/>
              <w:right w:val="single" w:color="auto" w:sz="4" w:space="0"/>
            </w:tcBorders>
            <w:noWrap w:val="0"/>
            <w:vAlign w:val="center"/>
          </w:tcPr>
          <w:p w14:paraId="5539FE2F">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0D354455">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lang w:val="en-US" w:eastAsia="zh-CN"/>
              </w:rPr>
              <w:t>事业编制</w:t>
            </w:r>
          </w:p>
        </w:tc>
        <w:tc>
          <w:tcPr>
            <w:tcW w:w="298" w:type="pct"/>
            <w:vMerge w:val="continue"/>
            <w:tcBorders>
              <w:left w:val="nil"/>
              <w:right w:val="single" w:color="auto" w:sz="4" w:space="0"/>
            </w:tcBorders>
            <w:noWrap w:val="0"/>
            <w:vAlign w:val="center"/>
          </w:tcPr>
          <w:p w14:paraId="10F0BDAB">
            <w:pPr>
              <w:jc w:val="center"/>
              <w:rPr>
                <w:rFonts w:hint="eastAsia" w:ascii="宋体" w:hAnsi="宋体" w:eastAsia="宋体" w:cs="宋体"/>
                <w:color w:val="auto"/>
                <w:kern w:val="0"/>
                <w:sz w:val="20"/>
                <w:szCs w:val="20"/>
                <w:highlight w:val="none"/>
              </w:rPr>
            </w:pPr>
          </w:p>
        </w:tc>
      </w:tr>
      <w:tr w14:paraId="5B1606A6">
        <w:tblPrEx>
          <w:tblCellMar>
            <w:top w:w="0" w:type="dxa"/>
            <w:left w:w="108" w:type="dxa"/>
            <w:bottom w:w="0" w:type="dxa"/>
            <w:right w:w="108" w:type="dxa"/>
          </w:tblCellMar>
        </w:tblPrEx>
        <w:trPr>
          <w:trHeight w:val="800"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71B784">
            <w:pPr>
              <w:widowControl/>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Times New Roman" w:hAnsi="Times New Roman" w:eastAsia="仿宋_GB2312" w:cs="Times New Roman"/>
                <w:color w:val="auto"/>
                <w:kern w:val="2"/>
                <w:sz w:val="18"/>
                <w:szCs w:val="18"/>
                <w:highlight w:val="none"/>
                <w:lang w:val="en-US" w:eastAsia="zh-CN" w:bidi="ar"/>
              </w:rPr>
              <w:t>04</w:t>
            </w:r>
          </w:p>
        </w:tc>
        <w:tc>
          <w:tcPr>
            <w:tcW w:w="451" w:type="pct"/>
            <w:tcBorders>
              <w:top w:val="single" w:color="auto" w:sz="4" w:space="0"/>
              <w:left w:val="nil"/>
              <w:bottom w:val="single" w:color="auto" w:sz="4" w:space="0"/>
              <w:right w:val="single" w:color="auto" w:sz="4" w:space="0"/>
            </w:tcBorders>
            <w:shd w:val="clear" w:color="auto" w:fill="auto"/>
            <w:noWrap w:val="0"/>
            <w:vAlign w:val="center"/>
          </w:tcPr>
          <w:p w14:paraId="5C4D1C0F">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color w:val="auto"/>
                <w:sz w:val="20"/>
                <w:szCs w:val="20"/>
                <w:highlight w:val="none"/>
              </w:rPr>
              <w:t>初等教育学院专任教师1</w:t>
            </w:r>
          </w:p>
        </w:tc>
        <w:tc>
          <w:tcPr>
            <w:tcW w:w="270" w:type="pct"/>
            <w:tcBorders>
              <w:top w:val="single" w:color="auto" w:sz="4" w:space="0"/>
              <w:left w:val="nil"/>
              <w:bottom w:val="single" w:color="auto" w:sz="4" w:space="0"/>
              <w:right w:val="single" w:color="auto" w:sz="4" w:space="0"/>
            </w:tcBorders>
            <w:noWrap w:val="0"/>
            <w:vAlign w:val="center"/>
          </w:tcPr>
          <w:p w14:paraId="00A3449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356" w:type="pct"/>
            <w:tcBorders>
              <w:top w:val="single" w:color="auto" w:sz="4" w:space="0"/>
              <w:left w:val="nil"/>
              <w:bottom w:val="single" w:color="auto" w:sz="4" w:space="0"/>
              <w:right w:val="single" w:color="auto" w:sz="4" w:space="0"/>
            </w:tcBorders>
            <w:shd w:val="clear" w:color="auto" w:fill="auto"/>
            <w:noWrap w:val="0"/>
            <w:vAlign w:val="center"/>
          </w:tcPr>
          <w:p w14:paraId="047F6E8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shd w:val="clear" w:color="auto" w:fill="auto"/>
            <w:noWrap w:val="0"/>
            <w:vAlign w:val="center"/>
          </w:tcPr>
          <w:p w14:paraId="666E219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旅游管理类</w:t>
            </w:r>
          </w:p>
        </w:tc>
        <w:tc>
          <w:tcPr>
            <w:tcW w:w="285" w:type="pct"/>
            <w:tcBorders>
              <w:top w:val="single" w:color="auto" w:sz="4" w:space="0"/>
              <w:left w:val="nil"/>
              <w:bottom w:val="single" w:color="auto" w:sz="4" w:space="0"/>
              <w:right w:val="single" w:color="auto" w:sz="4" w:space="0"/>
            </w:tcBorders>
            <w:shd w:val="clear" w:color="auto" w:fill="auto"/>
            <w:noWrap w:val="0"/>
            <w:vAlign w:val="center"/>
          </w:tcPr>
          <w:p w14:paraId="45EBEC1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研究生</w:t>
            </w:r>
          </w:p>
        </w:tc>
        <w:tc>
          <w:tcPr>
            <w:tcW w:w="307" w:type="pct"/>
            <w:tcBorders>
              <w:top w:val="single" w:color="auto" w:sz="4" w:space="0"/>
              <w:left w:val="nil"/>
              <w:bottom w:val="single" w:color="auto" w:sz="4" w:space="0"/>
              <w:right w:val="single" w:color="auto" w:sz="4" w:space="0"/>
            </w:tcBorders>
            <w:shd w:val="clear" w:color="auto" w:fill="auto"/>
            <w:noWrap w:val="0"/>
            <w:vAlign w:val="center"/>
          </w:tcPr>
          <w:p w14:paraId="5163E36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博士</w:t>
            </w:r>
          </w:p>
        </w:tc>
        <w:tc>
          <w:tcPr>
            <w:tcW w:w="330" w:type="pct"/>
            <w:tcBorders>
              <w:top w:val="single" w:color="auto" w:sz="4" w:space="0"/>
              <w:left w:val="nil"/>
              <w:bottom w:val="single" w:color="auto" w:sz="4" w:space="0"/>
              <w:right w:val="single" w:color="auto" w:sz="4" w:space="0"/>
            </w:tcBorders>
            <w:shd w:val="clear" w:color="auto" w:fill="auto"/>
            <w:noWrap w:val="0"/>
            <w:vAlign w:val="center"/>
          </w:tcPr>
          <w:p w14:paraId="51FD355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shd w:val="clear" w:color="auto" w:fill="auto"/>
            <w:noWrap w:val="0"/>
            <w:vAlign w:val="center"/>
          </w:tcPr>
          <w:p w14:paraId="4F216865">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341" w:type="pct"/>
            <w:tcBorders>
              <w:top w:val="single" w:color="auto" w:sz="4" w:space="0"/>
              <w:left w:val="nil"/>
              <w:bottom w:val="single" w:color="auto" w:sz="4" w:space="0"/>
              <w:right w:val="single" w:color="auto" w:sz="4" w:space="0"/>
            </w:tcBorders>
            <w:shd w:val="clear" w:color="auto" w:fill="auto"/>
            <w:noWrap w:val="0"/>
            <w:vAlign w:val="center"/>
          </w:tcPr>
          <w:p w14:paraId="17AD6FA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469" w:type="pct"/>
            <w:tcBorders>
              <w:top w:val="single" w:color="auto" w:sz="4" w:space="0"/>
              <w:left w:val="nil"/>
              <w:bottom w:val="single" w:color="auto" w:sz="4" w:space="0"/>
              <w:right w:val="single" w:color="auto" w:sz="4" w:space="0"/>
            </w:tcBorders>
            <w:shd w:val="clear" w:color="auto" w:fill="auto"/>
            <w:noWrap w:val="0"/>
            <w:vAlign w:val="center"/>
          </w:tcPr>
          <w:p w14:paraId="657B1E7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具有副高及以上职称的，学历学位可放宽到研究生、硕士</w:t>
            </w:r>
          </w:p>
        </w:tc>
        <w:tc>
          <w:tcPr>
            <w:tcW w:w="320" w:type="pct"/>
            <w:tcBorders>
              <w:top w:val="single" w:color="auto" w:sz="4" w:space="0"/>
              <w:left w:val="nil"/>
              <w:bottom w:val="single" w:color="auto" w:sz="4" w:space="0"/>
              <w:right w:val="single" w:color="auto" w:sz="4" w:space="0"/>
            </w:tcBorders>
            <w:shd w:val="clear" w:color="auto" w:fill="auto"/>
            <w:noWrap w:val="0"/>
            <w:vAlign w:val="center"/>
          </w:tcPr>
          <w:p w14:paraId="06D81EE7">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08281237">
            <w:pPr>
              <w:keepNext w:val="0"/>
              <w:keepLines w:val="0"/>
              <w:widowControl/>
              <w:suppressLineNumbers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事业编制</w:t>
            </w:r>
          </w:p>
        </w:tc>
        <w:tc>
          <w:tcPr>
            <w:tcW w:w="298" w:type="pct"/>
            <w:vMerge w:val="continue"/>
            <w:tcBorders>
              <w:left w:val="nil"/>
              <w:bottom w:val="single" w:color="auto" w:sz="4" w:space="0"/>
              <w:right w:val="single" w:color="auto" w:sz="4" w:space="0"/>
            </w:tcBorders>
            <w:noWrap w:val="0"/>
            <w:vAlign w:val="center"/>
          </w:tcPr>
          <w:p w14:paraId="4359B9CC">
            <w:pPr>
              <w:jc w:val="center"/>
              <w:rPr>
                <w:rFonts w:hint="eastAsia" w:ascii="宋体" w:hAnsi="宋体" w:eastAsia="宋体" w:cs="宋体"/>
                <w:color w:val="auto"/>
                <w:kern w:val="0"/>
                <w:sz w:val="20"/>
                <w:szCs w:val="20"/>
                <w:highlight w:val="none"/>
              </w:rPr>
            </w:pPr>
          </w:p>
        </w:tc>
      </w:tr>
      <w:tr w14:paraId="7C797D06">
        <w:tblPrEx>
          <w:tblCellMar>
            <w:top w:w="0" w:type="dxa"/>
            <w:left w:w="108" w:type="dxa"/>
            <w:bottom w:w="0" w:type="dxa"/>
            <w:right w:w="108" w:type="dxa"/>
          </w:tblCellMar>
        </w:tblPrEx>
        <w:trPr>
          <w:trHeight w:val="800" w:hRule="atLeast"/>
        </w:trPr>
        <w:tc>
          <w:tcPr>
            <w:tcW w:w="23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04F0E82">
            <w:pPr>
              <w:widowControl/>
              <w:jc w:val="center"/>
              <w:rPr>
                <w:rFonts w:hint="eastAsia"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岗位</w:t>
            </w:r>
          </w:p>
          <w:p w14:paraId="069001E9">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序号</w:t>
            </w:r>
          </w:p>
        </w:tc>
        <w:tc>
          <w:tcPr>
            <w:tcW w:w="451" w:type="pct"/>
            <w:tcBorders>
              <w:top w:val="single" w:color="auto" w:sz="4" w:space="0"/>
              <w:left w:val="nil"/>
              <w:bottom w:val="single" w:color="auto" w:sz="4" w:space="0"/>
              <w:right w:val="single" w:color="auto" w:sz="4" w:space="0"/>
            </w:tcBorders>
            <w:shd w:val="clear" w:color="auto" w:fill="auto"/>
            <w:noWrap w:val="0"/>
            <w:vAlign w:val="center"/>
          </w:tcPr>
          <w:p w14:paraId="263A849D">
            <w:pPr>
              <w:widowControl/>
              <w:jc w:val="center"/>
              <w:rPr>
                <w:rFonts w:hint="eastAsia"/>
                <w:color w:val="auto"/>
                <w:highlight w:val="none"/>
              </w:rPr>
            </w:pPr>
            <w:r>
              <w:rPr>
                <w:rFonts w:hint="eastAsia" w:ascii="宋体" w:hAnsi="宋体" w:eastAsia="宋体" w:cs="宋体"/>
                <w:b/>
                <w:color w:val="auto"/>
                <w:kern w:val="0"/>
                <w:sz w:val="20"/>
                <w:szCs w:val="20"/>
                <w:highlight w:val="none"/>
              </w:rPr>
              <w:t>岗位名称</w:t>
            </w:r>
          </w:p>
        </w:tc>
        <w:tc>
          <w:tcPr>
            <w:tcW w:w="270" w:type="pct"/>
            <w:tcBorders>
              <w:top w:val="single" w:color="auto" w:sz="4" w:space="0"/>
              <w:left w:val="nil"/>
              <w:bottom w:val="single" w:color="auto" w:sz="4" w:space="0"/>
              <w:right w:val="single" w:color="auto" w:sz="4" w:space="0"/>
            </w:tcBorders>
            <w:noWrap w:val="0"/>
            <w:vAlign w:val="center"/>
          </w:tcPr>
          <w:p w14:paraId="77AF6859">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招聘人数</w:t>
            </w:r>
          </w:p>
        </w:tc>
        <w:tc>
          <w:tcPr>
            <w:tcW w:w="356" w:type="pct"/>
            <w:tcBorders>
              <w:top w:val="single" w:color="auto" w:sz="4" w:space="0"/>
              <w:left w:val="nil"/>
              <w:bottom w:val="single" w:color="auto" w:sz="4" w:space="0"/>
              <w:right w:val="single" w:color="auto" w:sz="4" w:space="0"/>
            </w:tcBorders>
            <w:shd w:val="clear" w:color="auto" w:fill="auto"/>
            <w:noWrap w:val="0"/>
            <w:vAlign w:val="center"/>
          </w:tcPr>
          <w:p w14:paraId="5D501335">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岗位类别等级</w:t>
            </w:r>
          </w:p>
        </w:tc>
        <w:tc>
          <w:tcPr>
            <w:tcW w:w="646" w:type="pct"/>
            <w:tcBorders>
              <w:top w:val="single" w:color="auto" w:sz="4" w:space="0"/>
              <w:left w:val="nil"/>
              <w:bottom w:val="single" w:color="auto" w:sz="4" w:space="0"/>
              <w:right w:val="single" w:color="auto" w:sz="4" w:space="0"/>
            </w:tcBorders>
            <w:shd w:val="clear" w:color="auto" w:fill="auto"/>
            <w:noWrap w:val="0"/>
            <w:vAlign w:val="center"/>
          </w:tcPr>
          <w:p w14:paraId="559DB6EA">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专 业</w:t>
            </w:r>
          </w:p>
        </w:tc>
        <w:tc>
          <w:tcPr>
            <w:tcW w:w="285" w:type="pct"/>
            <w:tcBorders>
              <w:top w:val="single" w:color="auto" w:sz="4" w:space="0"/>
              <w:left w:val="nil"/>
              <w:bottom w:val="single" w:color="auto" w:sz="4" w:space="0"/>
              <w:right w:val="single" w:color="auto" w:sz="4" w:space="0"/>
            </w:tcBorders>
            <w:shd w:val="clear" w:color="auto" w:fill="auto"/>
            <w:noWrap w:val="0"/>
            <w:vAlign w:val="center"/>
          </w:tcPr>
          <w:p w14:paraId="0A761C64">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学历</w:t>
            </w:r>
          </w:p>
        </w:tc>
        <w:tc>
          <w:tcPr>
            <w:tcW w:w="307" w:type="pct"/>
            <w:tcBorders>
              <w:top w:val="single" w:color="auto" w:sz="4" w:space="0"/>
              <w:left w:val="nil"/>
              <w:bottom w:val="single" w:color="auto" w:sz="4" w:space="0"/>
              <w:right w:val="single" w:color="auto" w:sz="4" w:space="0"/>
            </w:tcBorders>
            <w:shd w:val="clear" w:color="auto" w:fill="auto"/>
            <w:noWrap w:val="0"/>
            <w:vAlign w:val="center"/>
          </w:tcPr>
          <w:p w14:paraId="70513D3E">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学位</w:t>
            </w:r>
          </w:p>
        </w:tc>
        <w:tc>
          <w:tcPr>
            <w:tcW w:w="330" w:type="pct"/>
            <w:tcBorders>
              <w:top w:val="single" w:color="auto" w:sz="4" w:space="0"/>
              <w:left w:val="nil"/>
              <w:bottom w:val="single" w:color="auto" w:sz="4" w:space="0"/>
              <w:right w:val="single" w:color="auto" w:sz="4" w:space="0"/>
            </w:tcBorders>
            <w:shd w:val="clear" w:color="auto" w:fill="auto"/>
            <w:noWrap w:val="0"/>
            <w:vAlign w:val="center"/>
          </w:tcPr>
          <w:p w14:paraId="22FD8729">
            <w:pPr>
              <w:widowControl/>
              <w:jc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年龄</w:t>
            </w:r>
          </w:p>
        </w:tc>
        <w:tc>
          <w:tcPr>
            <w:tcW w:w="368" w:type="pct"/>
            <w:tcBorders>
              <w:top w:val="single" w:color="auto" w:sz="4" w:space="0"/>
              <w:left w:val="nil"/>
              <w:bottom w:val="single" w:color="auto" w:sz="4" w:space="0"/>
              <w:right w:val="single" w:color="auto" w:sz="4" w:space="0"/>
            </w:tcBorders>
            <w:shd w:val="clear" w:color="auto" w:fill="auto"/>
            <w:noWrap w:val="0"/>
            <w:vAlign w:val="center"/>
          </w:tcPr>
          <w:p w14:paraId="2FA36EEE">
            <w:pPr>
              <w:widowControl/>
              <w:jc w:val="center"/>
              <w:rPr>
                <w:rFonts w:hint="eastAsia" w:ascii="宋体" w:hAnsi="宋体" w:eastAsia="宋体" w:cs="宋体"/>
                <w:i w:val="0"/>
                <w:iCs w:val="0"/>
                <w:color w:val="auto"/>
                <w:kern w:val="0"/>
                <w:sz w:val="20"/>
                <w:szCs w:val="20"/>
                <w:highlight w:val="none"/>
                <w:u w:val="none"/>
                <w:lang w:val="en-US" w:eastAsia="zh-CN" w:bidi="ar"/>
              </w:rPr>
            </w:pPr>
            <w:r>
              <w:rPr>
                <w:b/>
                <w:bCs/>
                <w:color w:val="auto"/>
                <w:spacing w:val="-2"/>
                <w:sz w:val="20"/>
                <w:szCs w:val="20"/>
                <w:highlight w:val="none"/>
              </w:rPr>
              <w:t>职称或职</w:t>
            </w:r>
            <w:r>
              <w:rPr>
                <w:rFonts w:hint="eastAsia"/>
                <w:b/>
                <w:bCs/>
                <w:color w:val="auto"/>
                <w:spacing w:val="-2"/>
                <w:sz w:val="20"/>
                <w:szCs w:val="20"/>
                <w:highlight w:val="none"/>
                <w:lang w:eastAsia="zh-CN"/>
              </w:rPr>
              <w:t>（</w:t>
            </w:r>
            <w:r>
              <w:rPr>
                <w:b/>
                <w:bCs/>
                <w:color w:val="auto"/>
                <w:spacing w:val="2"/>
                <w:sz w:val="20"/>
                <w:szCs w:val="20"/>
                <w:highlight w:val="none"/>
              </w:rPr>
              <w:t>执</w:t>
            </w:r>
            <w:r>
              <w:rPr>
                <w:rFonts w:hint="eastAsia"/>
                <w:b/>
                <w:bCs/>
                <w:color w:val="auto"/>
                <w:spacing w:val="2"/>
                <w:sz w:val="20"/>
                <w:szCs w:val="20"/>
                <w:highlight w:val="none"/>
                <w:lang w:eastAsia="zh-CN"/>
              </w:rPr>
              <w:t>）</w:t>
            </w:r>
            <w:r>
              <w:rPr>
                <w:b/>
                <w:bCs/>
                <w:color w:val="auto"/>
                <w:spacing w:val="2"/>
                <w:sz w:val="20"/>
                <w:szCs w:val="20"/>
                <w:highlight w:val="none"/>
              </w:rPr>
              <w:t>业资</w:t>
            </w:r>
            <w:r>
              <w:rPr>
                <w:b/>
                <w:bCs/>
                <w:color w:val="auto"/>
                <w:sz w:val="20"/>
                <w:szCs w:val="20"/>
                <w:highlight w:val="none"/>
              </w:rPr>
              <w:t>格</w:t>
            </w:r>
          </w:p>
        </w:tc>
        <w:tc>
          <w:tcPr>
            <w:tcW w:w="341" w:type="pct"/>
            <w:tcBorders>
              <w:top w:val="single" w:color="auto" w:sz="4" w:space="0"/>
              <w:left w:val="nil"/>
              <w:bottom w:val="single" w:color="auto" w:sz="4" w:space="0"/>
              <w:right w:val="single" w:color="auto" w:sz="4" w:space="0"/>
            </w:tcBorders>
            <w:shd w:val="clear" w:color="auto" w:fill="auto"/>
            <w:noWrap w:val="0"/>
            <w:vAlign w:val="center"/>
          </w:tcPr>
          <w:p w14:paraId="6E49C93D">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rPr>
              <w:t>政治面貌</w:t>
            </w:r>
          </w:p>
        </w:tc>
        <w:tc>
          <w:tcPr>
            <w:tcW w:w="46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EBD30BD">
            <w:pPr>
              <w:widowControl/>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kern w:val="0"/>
                <w:sz w:val="20"/>
                <w:szCs w:val="20"/>
                <w:highlight w:val="none"/>
                <w:lang w:val="en-US" w:eastAsia="zh-CN"/>
              </w:rPr>
              <w:t>其他条件</w:t>
            </w:r>
          </w:p>
        </w:tc>
        <w:tc>
          <w:tcPr>
            <w:tcW w:w="320" w:type="pct"/>
            <w:tcBorders>
              <w:top w:val="single" w:color="auto" w:sz="4" w:space="0"/>
              <w:left w:val="nil"/>
              <w:bottom w:val="single" w:color="auto" w:sz="4" w:space="0"/>
              <w:right w:val="single" w:color="auto" w:sz="4" w:space="0"/>
            </w:tcBorders>
            <w:shd w:val="clear" w:color="auto" w:fill="auto"/>
            <w:noWrap w:val="0"/>
            <w:vAlign w:val="center"/>
          </w:tcPr>
          <w:p w14:paraId="463C9E72">
            <w:pPr>
              <w:widowControl/>
              <w:jc w:val="center"/>
              <w:rPr>
                <w:rFonts w:hint="eastAsia" w:ascii="宋体" w:hAnsi="宋体" w:eastAsia="宋体" w:cs="宋体"/>
                <w:color w:val="auto"/>
                <w:kern w:val="0"/>
                <w:sz w:val="20"/>
                <w:szCs w:val="20"/>
                <w:highlight w:val="none"/>
                <w:lang w:bidi="ar"/>
              </w:rPr>
            </w:pPr>
            <w:r>
              <w:rPr>
                <w:rFonts w:hint="eastAsia" w:ascii="宋体" w:hAnsi="宋体" w:eastAsia="宋体" w:cs="宋体"/>
                <w:b/>
                <w:color w:val="auto"/>
                <w:kern w:val="0"/>
                <w:sz w:val="20"/>
                <w:szCs w:val="20"/>
                <w:highlight w:val="none"/>
              </w:rPr>
              <w:t>考试方式</w:t>
            </w:r>
          </w:p>
        </w:tc>
        <w:tc>
          <w:tcPr>
            <w:tcW w:w="320" w:type="pct"/>
            <w:tcBorders>
              <w:top w:val="single" w:color="auto" w:sz="4" w:space="0"/>
              <w:left w:val="nil"/>
              <w:bottom w:val="single" w:color="auto" w:sz="4" w:space="0"/>
              <w:right w:val="single" w:color="auto" w:sz="4" w:space="0"/>
            </w:tcBorders>
            <w:noWrap w:val="0"/>
            <w:vAlign w:val="center"/>
          </w:tcPr>
          <w:p w14:paraId="100A9C9A">
            <w:pPr>
              <w:widowControl/>
              <w:jc w:val="center"/>
              <w:rPr>
                <w:rFonts w:hint="eastAsia"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用人</w:t>
            </w:r>
          </w:p>
          <w:p w14:paraId="703F87D8">
            <w:pPr>
              <w:widowControl/>
              <w:jc w:val="center"/>
              <w:rPr>
                <w:rFonts w:hint="eastAsia" w:ascii="宋体" w:hAnsi="宋体" w:cs="宋体"/>
                <w:color w:val="auto"/>
                <w:sz w:val="20"/>
                <w:szCs w:val="20"/>
                <w:highlight w:val="none"/>
                <w:lang w:val="en-US" w:eastAsia="zh-CN"/>
              </w:rPr>
            </w:pPr>
            <w:r>
              <w:rPr>
                <w:rFonts w:hint="eastAsia" w:ascii="宋体" w:hAnsi="宋体" w:eastAsia="宋体" w:cs="宋体"/>
                <w:b/>
                <w:color w:val="auto"/>
                <w:kern w:val="0"/>
                <w:sz w:val="20"/>
                <w:szCs w:val="20"/>
                <w:highlight w:val="none"/>
              </w:rPr>
              <w:t>方式</w:t>
            </w:r>
          </w:p>
        </w:tc>
        <w:tc>
          <w:tcPr>
            <w:tcW w:w="298" w:type="pct"/>
            <w:tcBorders>
              <w:top w:val="single" w:color="auto" w:sz="4" w:space="0"/>
              <w:left w:val="nil"/>
              <w:bottom w:val="single" w:color="auto" w:sz="4" w:space="0"/>
              <w:right w:val="single" w:color="auto" w:sz="4" w:space="0"/>
            </w:tcBorders>
            <w:noWrap w:val="0"/>
            <w:vAlign w:val="center"/>
          </w:tcPr>
          <w:p w14:paraId="5842B73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b/>
                <w:color w:val="auto"/>
                <w:kern w:val="0"/>
                <w:sz w:val="20"/>
                <w:szCs w:val="20"/>
                <w:highlight w:val="none"/>
              </w:rPr>
              <w:t>备注</w:t>
            </w:r>
          </w:p>
        </w:tc>
      </w:tr>
      <w:tr w14:paraId="4A19D3B7">
        <w:tblPrEx>
          <w:tblCellMar>
            <w:top w:w="0" w:type="dxa"/>
            <w:left w:w="108" w:type="dxa"/>
            <w:bottom w:w="0" w:type="dxa"/>
            <w:right w:w="108" w:type="dxa"/>
          </w:tblCellMar>
        </w:tblPrEx>
        <w:trPr>
          <w:trHeight w:val="800"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B2D79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sz w:val="18"/>
                <w:szCs w:val="18"/>
                <w:highlight w:val="none"/>
                <w:lang w:val="en-US" w:eastAsia="zh-CN"/>
              </w:rPr>
              <w:t>05</w:t>
            </w:r>
          </w:p>
        </w:tc>
        <w:tc>
          <w:tcPr>
            <w:tcW w:w="451" w:type="pct"/>
            <w:tcBorders>
              <w:top w:val="single" w:color="auto" w:sz="4" w:space="0"/>
              <w:left w:val="nil"/>
              <w:bottom w:val="single" w:color="auto" w:sz="4" w:space="0"/>
              <w:right w:val="single" w:color="auto" w:sz="4" w:space="0"/>
            </w:tcBorders>
            <w:shd w:val="clear" w:color="auto" w:fill="auto"/>
            <w:noWrap w:val="0"/>
            <w:vAlign w:val="center"/>
          </w:tcPr>
          <w:p w14:paraId="45E6060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color w:val="auto"/>
                <w:sz w:val="20"/>
                <w:szCs w:val="20"/>
                <w:highlight w:val="none"/>
              </w:rPr>
              <w:t>初等教育学院专任教师2</w:t>
            </w:r>
          </w:p>
        </w:tc>
        <w:tc>
          <w:tcPr>
            <w:tcW w:w="270" w:type="pct"/>
            <w:tcBorders>
              <w:top w:val="single" w:color="auto" w:sz="4" w:space="0"/>
              <w:left w:val="nil"/>
              <w:bottom w:val="single" w:color="auto" w:sz="4" w:space="0"/>
              <w:right w:val="single" w:color="auto" w:sz="4" w:space="0"/>
            </w:tcBorders>
            <w:noWrap w:val="0"/>
            <w:vAlign w:val="center"/>
          </w:tcPr>
          <w:p w14:paraId="0DA4E5F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356" w:type="pct"/>
            <w:tcBorders>
              <w:top w:val="single" w:color="auto" w:sz="4" w:space="0"/>
              <w:left w:val="nil"/>
              <w:bottom w:val="single" w:color="auto" w:sz="4" w:space="0"/>
              <w:right w:val="single" w:color="auto" w:sz="4" w:space="0"/>
            </w:tcBorders>
            <w:shd w:val="clear" w:color="auto" w:fill="auto"/>
            <w:noWrap w:val="0"/>
            <w:vAlign w:val="center"/>
          </w:tcPr>
          <w:p w14:paraId="70544B4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shd w:val="clear" w:color="auto" w:fill="auto"/>
            <w:noWrap w:val="0"/>
            <w:vAlign w:val="center"/>
          </w:tcPr>
          <w:p w14:paraId="462B08A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计算机科学与技术</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计算机应用技术</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网络空间安全</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计算机技术</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人工智能</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大数据技术与工程</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网络与信息安全</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信息系统安全</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信息安全</w:t>
            </w:r>
          </w:p>
        </w:tc>
        <w:tc>
          <w:tcPr>
            <w:tcW w:w="285" w:type="pct"/>
            <w:tcBorders>
              <w:top w:val="single" w:color="auto" w:sz="4" w:space="0"/>
              <w:left w:val="nil"/>
              <w:bottom w:val="single" w:color="auto" w:sz="4" w:space="0"/>
              <w:right w:val="single" w:color="auto" w:sz="4" w:space="0"/>
            </w:tcBorders>
            <w:shd w:val="clear" w:color="auto" w:fill="auto"/>
            <w:noWrap w:val="0"/>
            <w:vAlign w:val="center"/>
          </w:tcPr>
          <w:p w14:paraId="3D4F24A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研究生</w:t>
            </w:r>
          </w:p>
        </w:tc>
        <w:tc>
          <w:tcPr>
            <w:tcW w:w="307" w:type="pct"/>
            <w:tcBorders>
              <w:top w:val="single" w:color="auto" w:sz="4" w:space="0"/>
              <w:left w:val="nil"/>
              <w:bottom w:val="single" w:color="auto" w:sz="4" w:space="0"/>
              <w:right w:val="single" w:color="auto" w:sz="4" w:space="0"/>
            </w:tcBorders>
            <w:shd w:val="clear" w:color="auto" w:fill="auto"/>
            <w:noWrap w:val="0"/>
            <w:vAlign w:val="center"/>
          </w:tcPr>
          <w:p w14:paraId="7A7E1A8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博士</w:t>
            </w:r>
          </w:p>
        </w:tc>
        <w:tc>
          <w:tcPr>
            <w:tcW w:w="330" w:type="pct"/>
            <w:tcBorders>
              <w:top w:val="single" w:color="auto" w:sz="4" w:space="0"/>
              <w:left w:val="nil"/>
              <w:bottom w:val="single" w:color="auto" w:sz="4" w:space="0"/>
              <w:right w:val="single" w:color="auto" w:sz="4" w:space="0"/>
            </w:tcBorders>
            <w:shd w:val="clear" w:color="auto" w:fill="auto"/>
            <w:noWrap w:val="0"/>
            <w:vAlign w:val="center"/>
          </w:tcPr>
          <w:p w14:paraId="6E960A9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shd w:val="clear" w:color="auto" w:fill="auto"/>
            <w:noWrap w:val="0"/>
            <w:vAlign w:val="center"/>
          </w:tcPr>
          <w:p w14:paraId="6FD1EFE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341" w:type="pct"/>
            <w:tcBorders>
              <w:top w:val="single" w:color="auto" w:sz="4" w:space="0"/>
              <w:left w:val="nil"/>
              <w:bottom w:val="single" w:color="auto" w:sz="4" w:space="0"/>
              <w:right w:val="single" w:color="auto" w:sz="4" w:space="0"/>
            </w:tcBorders>
            <w:shd w:val="clear" w:color="auto" w:fill="auto"/>
            <w:noWrap w:val="0"/>
            <w:vAlign w:val="center"/>
          </w:tcPr>
          <w:p w14:paraId="1EE6D62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46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859AA9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具有副高及以上职称的，学历学位可放宽到研究生、硕士</w:t>
            </w:r>
          </w:p>
        </w:tc>
        <w:tc>
          <w:tcPr>
            <w:tcW w:w="320" w:type="pct"/>
            <w:tcBorders>
              <w:top w:val="single" w:color="auto" w:sz="4" w:space="0"/>
              <w:left w:val="nil"/>
              <w:bottom w:val="single" w:color="auto" w:sz="4" w:space="0"/>
              <w:right w:val="single" w:color="auto" w:sz="4" w:space="0"/>
            </w:tcBorders>
            <w:shd w:val="clear" w:color="auto" w:fill="auto"/>
            <w:noWrap w:val="0"/>
            <w:vAlign w:val="center"/>
          </w:tcPr>
          <w:p w14:paraId="7B2DE3EA">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2B903A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cs="宋体"/>
                <w:color w:val="auto"/>
                <w:sz w:val="20"/>
                <w:szCs w:val="20"/>
                <w:highlight w:val="none"/>
                <w:lang w:val="en-US" w:eastAsia="zh-CN"/>
              </w:rPr>
              <w:t>事业编制</w:t>
            </w:r>
          </w:p>
        </w:tc>
        <w:tc>
          <w:tcPr>
            <w:tcW w:w="298" w:type="pct"/>
            <w:vMerge w:val="restart"/>
            <w:tcBorders>
              <w:left w:val="nil"/>
              <w:right w:val="single" w:color="auto" w:sz="4" w:space="0"/>
            </w:tcBorders>
            <w:noWrap w:val="0"/>
            <w:vAlign w:val="center"/>
          </w:tcPr>
          <w:p w14:paraId="05D72674">
            <w:pPr>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根据拟聘人员实际情况按</w:t>
            </w:r>
            <w:r>
              <w:rPr>
                <w:rFonts w:hint="eastAsia" w:ascii="宋体" w:hAnsi="宋体" w:cs="宋体"/>
                <w:color w:val="auto"/>
                <w:kern w:val="0"/>
                <w:sz w:val="20"/>
                <w:szCs w:val="20"/>
                <w:highlight w:val="none"/>
                <w:lang w:val="en-US" w:eastAsia="zh-CN"/>
              </w:rPr>
              <w:t>管理规定确定岗位等级</w:t>
            </w:r>
          </w:p>
        </w:tc>
      </w:tr>
      <w:tr w14:paraId="63C61E7B">
        <w:tblPrEx>
          <w:tblCellMar>
            <w:top w:w="0" w:type="dxa"/>
            <w:left w:w="108" w:type="dxa"/>
            <w:bottom w:w="0" w:type="dxa"/>
            <w:right w:w="108" w:type="dxa"/>
          </w:tblCellMar>
        </w:tblPrEx>
        <w:trPr>
          <w:trHeight w:val="800"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4A8D7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sz w:val="18"/>
                <w:szCs w:val="18"/>
                <w:highlight w:val="none"/>
                <w:lang w:val="en-US" w:eastAsia="zh-CN"/>
              </w:rPr>
              <w:t>06</w:t>
            </w:r>
          </w:p>
        </w:tc>
        <w:tc>
          <w:tcPr>
            <w:tcW w:w="451" w:type="pct"/>
            <w:tcBorders>
              <w:top w:val="single" w:color="auto" w:sz="4" w:space="0"/>
              <w:left w:val="nil"/>
              <w:bottom w:val="single" w:color="auto" w:sz="4" w:space="0"/>
              <w:right w:val="single" w:color="auto" w:sz="4" w:space="0"/>
            </w:tcBorders>
            <w:shd w:val="clear" w:color="auto" w:fill="auto"/>
            <w:noWrap w:val="0"/>
            <w:vAlign w:val="center"/>
          </w:tcPr>
          <w:p w14:paraId="1081BEA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color w:val="auto"/>
                <w:sz w:val="20"/>
                <w:szCs w:val="20"/>
                <w:highlight w:val="none"/>
              </w:rPr>
              <w:t>运动科学学院专任教师</w:t>
            </w:r>
          </w:p>
        </w:tc>
        <w:tc>
          <w:tcPr>
            <w:tcW w:w="270" w:type="pct"/>
            <w:tcBorders>
              <w:top w:val="single" w:color="auto" w:sz="4" w:space="0"/>
              <w:left w:val="nil"/>
              <w:bottom w:val="single" w:color="auto" w:sz="4" w:space="0"/>
              <w:right w:val="single" w:color="auto" w:sz="4" w:space="0"/>
            </w:tcBorders>
            <w:shd w:val="clear" w:color="auto" w:fill="auto"/>
            <w:noWrap w:val="0"/>
            <w:vAlign w:val="center"/>
          </w:tcPr>
          <w:p w14:paraId="0F19919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356" w:type="pct"/>
            <w:tcBorders>
              <w:top w:val="single" w:color="auto" w:sz="4" w:space="0"/>
              <w:left w:val="nil"/>
              <w:bottom w:val="single" w:color="auto" w:sz="4" w:space="0"/>
              <w:right w:val="single" w:color="auto" w:sz="4" w:space="0"/>
            </w:tcBorders>
            <w:shd w:val="clear" w:color="auto" w:fill="auto"/>
            <w:noWrap w:val="0"/>
            <w:vAlign w:val="center"/>
          </w:tcPr>
          <w:p w14:paraId="5C8ED91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shd w:val="clear" w:color="auto" w:fill="auto"/>
            <w:noWrap w:val="0"/>
            <w:vAlign w:val="center"/>
          </w:tcPr>
          <w:p w14:paraId="65F4182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体育学类、教育学类</w:t>
            </w:r>
          </w:p>
        </w:tc>
        <w:tc>
          <w:tcPr>
            <w:tcW w:w="285" w:type="pct"/>
            <w:tcBorders>
              <w:top w:val="single" w:color="auto" w:sz="4" w:space="0"/>
              <w:left w:val="nil"/>
              <w:bottom w:val="single" w:color="auto" w:sz="4" w:space="0"/>
              <w:right w:val="single" w:color="auto" w:sz="4" w:space="0"/>
            </w:tcBorders>
            <w:shd w:val="clear" w:color="auto" w:fill="auto"/>
            <w:noWrap w:val="0"/>
            <w:vAlign w:val="center"/>
          </w:tcPr>
          <w:p w14:paraId="7779BAF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研究生</w:t>
            </w:r>
          </w:p>
        </w:tc>
        <w:tc>
          <w:tcPr>
            <w:tcW w:w="307" w:type="pct"/>
            <w:tcBorders>
              <w:top w:val="single" w:color="auto" w:sz="4" w:space="0"/>
              <w:left w:val="nil"/>
              <w:bottom w:val="single" w:color="auto" w:sz="4" w:space="0"/>
              <w:right w:val="single" w:color="auto" w:sz="4" w:space="0"/>
            </w:tcBorders>
            <w:shd w:val="clear" w:color="auto" w:fill="auto"/>
            <w:noWrap w:val="0"/>
            <w:vAlign w:val="center"/>
          </w:tcPr>
          <w:p w14:paraId="7C889F0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博士</w:t>
            </w:r>
          </w:p>
        </w:tc>
        <w:tc>
          <w:tcPr>
            <w:tcW w:w="330" w:type="pct"/>
            <w:tcBorders>
              <w:top w:val="single" w:color="auto" w:sz="4" w:space="0"/>
              <w:left w:val="nil"/>
              <w:bottom w:val="single" w:color="auto" w:sz="4" w:space="0"/>
              <w:right w:val="single" w:color="auto" w:sz="4" w:space="0"/>
            </w:tcBorders>
            <w:shd w:val="clear" w:color="auto" w:fill="auto"/>
            <w:noWrap w:val="0"/>
            <w:vAlign w:val="center"/>
          </w:tcPr>
          <w:p w14:paraId="2982553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shd w:val="clear" w:color="auto" w:fill="auto"/>
            <w:noWrap w:val="0"/>
            <w:vAlign w:val="center"/>
          </w:tcPr>
          <w:p w14:paraId="7F9BAE0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341" w:type="pct"/>
            <w:tcBorders>
              <w:top w:val="single" w:color="auto" w:sz="4" w:space="0"/>
              <w:left w:val="nil"/>
              <w:bottom w:val="single" w:color="auto" w:sz="4" w:space="0"/>
              <w:right w:val="single" w:color="auto" w:sz="4" w:space="0"/>
            </w:tcBorders>
            <w:shd w:val="clear" w:color="auto" w:fill="auto"/>
            <w:noWrap w:val="0"/>
            <w:vAlign w:val="center"/>
          </w:tcPr>
          <w:p w14:paraId="27F5DC5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469" w:type="pct"/>
            <w:tcBorders>
              <w:top w:val="single" w:color="auto" w:sz="4" w:space="0"/>
              <w:left w:val="nil"/>
              <w:bottom w:val="single" w:color="auto" w:sz="4" w:space="0"/>
              <w:right w:val="single" w:color="auto" w:sz="4" w:space="0"/>
            </w:tcBorders>
            <w:shd w:val="clear" w:color="auto" w:fill="auto"/>
            <w:noWrap w:val="0"/>
            <w:vAlign w:val="center"/>
          </w:tcPr>
          <w:p w14:paraId="3735A53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无</w:t>
            </w:r>
          </w:p>
        </w:tc>
        <w:tc>
          <w:tcPr>
            <w:tcW w:w="320" w:type="pct"/>
            <w:tcBorders>
              <w:top w:val="single" w:color="auto" w:sz="4" w:space="0"/>
              <w:left w:val="nil"/>
              <w:bottom w:val="single" w:color="auto" w:sz="4" w:space="0"/>
              <w:right w:val="single" w:color="auto" w:sz="4" w:space="0"/>
            </w:tcBorders>
            <w:shd w:val="clear" w:color="auto" w:fill="auto"/>
            <w:noWrap w:val="0"/>
            <w:vAlign w:val="center"/>
          </w:tcPr>
          <w:p w14:paraId="50855E5C">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4370FE92">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事业编制</w:t>
            </w:r>
          </w:p>
        </w:tc>
        <w:tc>
          <w:tcPr>
            <w:tcW w:w="298" w:type="pct"/>
            <w:vMerge w:val="continue"/>
            <w:tcBorders>
              <w:left w:val="nil"/>
              <w:right w:val="single" w:color="auto" w:sz="4" w:space="0"/>
            </w:tcBorders>
            <w:noWrap w:val="0"/>
            <w:vAlign w:val="center"/>
          </w:tcPr>
          <w:p w14:paraId="5DC6FA9C">
            <w:pPr>
              <w:jc w:val="center"/>
              <w:rPr>
                <w:rFonts w:hint="default" w:ascii="宋体" w:hAnsi="宋体" w:eastAsia="宋体" w:cs="宋体"/>
                <w:color w:val="auto"/>
                <w:kern w:val="0"/>
                <w:sz w:val="20"/>
                <w:szCs w:val="20"/>
                <w:highlight w:val="none"/>
                <w:lang w:val="en-US" w:eastAsia="zh-CN"/>
              </w:rPr>
            </w:pPr>
          </w:p>
        </w:tc>
      </w:tr>
      <w:tr w14:paraId="174698EA">
        <w:tblPrEx>
          <w:tblCellMar>
            <w:top w:w="0" w:type="dxa"/>
            <w:left w:w="108" w:type="dxa"/>
            <w:bottom w:w="0" w:type="dxa"/>
            <w:right w:w="108" w:type="dxa"/>
          </w:tblCellMar>
        </w:tblPrEx>
        <w:trPr>
          <w:trHeight w:val="1147"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B5598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sz w:val="18"/>
                <w:szCs w:val="18"/>
                <w:highlight w:val="none"/>
                <w:lang w:val="en-US" w:eastAsia="zh-CN"/>
              </w:rPr>
              <w:t>07</w:t>
            </w:r>
          </w:p>
        </w:tc>
        <w:tc>
          <w:tcPr>
            <w:tcW w:w="451" w:type="pct"/>
            <w:tcBorders>
              <w:top w:val="single" w:color="auto" w:sz="4" w:space="0"/>
              <w:left w:val="nil"/>
              <w:bottom w:val="single" w:color="auto" w:sz="4" w:space="0"/>
              <w:right w:val="single" w:color="auto" w:sz="4" w:space="0"/>
            </w:tcBorders>
            <w:shd w:val="clear" w:color="auto" w:fill="auto"/>
            <w:noWrap w:val="0"/>
            <w:vAlign w:val="center"/>
          </w:tcPr>
          <w:p w14:paraId="3D8AEC9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color w:val="auto"/>
                <w:sz w:val="20"/>
                <w:szCs w:val="20"/>
                <w:highlight w:val="none"/>
              </w:rPr>
              <w:t>儿童艺术学院专任教师</w:t>
            </w:r>
          </w:p>
        </w:tc>
        <w:tc>
          <w:tcPr>
            <w:tcW w:w="270" w:type="pct"/>
            <w:tcBorders>
              <w:top w:val="single" w:color="auto" w:sz="4" w:space="0"/>
              <w:left w:val="nil"/>
              <w:bottom w:val="single" w:color="auto" w:sz="4" w:space="0"/>
              <w:right w:val="single" w:color="auto" w:sz="4" w:space="0"/>
            </w:tcBorders>
            <w:shd w:val="clear" w:color="auto" w:fill="auto"/>
            <w:noWrap w:val="0"/>
            <w:vAlign w:val="center"/>
          </w:tcPr>
          <w:p w14:paraId="493C3E1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356" w:type="pct"/>
            <w:tcBorders>
              <w:top w:val="single" w:color="auto" w:sz="4" w:space="0"/>
              <w:left w:val="nil"/>
              <w:bottom w:val="single" w:color="auto" w:sz="4" w:space="0"/>
              <w:right w:val="single" w:color="auto" w:sz="4" w:space="0"/>
            </w:tcBorders>
            <w:shd w:val="clear" w:color="auto" w:fill="auto"/>
            <w:noWrap w:val="0"/>
            <w:vAlign w:val="center"/>
          </w:tcPr>
          <w:p w14:paraId="539641E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shd w:val="clear" w:color="auto" w:fill="auto"/>
            <w:noWrap w:val="0"/>
            <w:vAlign w:val="center"/>
          </w:tcPr>
          <w:p w14:paraId="768C7D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纺织轻工类</w:t>
            </w:r>
          </w:p>
        </w:tc>
        <w:tc>
          <w:tcPr>
            <w:tcW w:w="285" w:type="pct"/>
            <w:tcBorders>
              <w:top w:val="single" w:color="auto" w:sz="4" w:space="0"/>
              <w:left w:val="nil"/>
              <w:bottom w:val="single" w:color="auto" w:sz="4" w:space="0"/>
              <w:right w:val="single" w:color="auto" w:sz="4" w:space="0"/>
            </w:tcBorders>
            <w:shd w:val="clear" w:color="auto" w:fill="auto"/>
            <w:noWrap w:val="0"/>
            <w:vAlign w:val="center"/>
          </w:tcPr>
          <w:p w14:paraId="25C447B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本科及以上</w:t>
            </w:r>
          </w:p>
        </w:tc>
        <w:tc>
          <w:tcPr>
            <w:tcW w:w="307" w:type="pct"/>
            <w:tcBorders>
              <w:top w:val="single" w:color="auto" w:sz="4" w:space="0"/>
              <w:left w:val="nil"/>
              <w:bottom w:val="single" w:color="auto" w:sz="4" w:space="0"/>
              <w:right w:val="single" w:color="auto" w:sz="4" w:space="0"/>
            </w:tcBorders>
            <w:shd w:val="clear" w:color="auto" w:fill="auto"/>
            <w:noWrap w:val="0"/>
            <w:vAlign w:val="center"/>
          </w:tcPr>
          <w:p w14:paraId="11E68C5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学士及以上</w:t>
            </w:r>
          </w:p>
        </w:tc>
        <w:tc>
          <w:tcPr>
            <w:tcW w:w="330" w:type="pct"/>
            <w:tcBorders>
              <w:top w:val="single" w:color="auto" w:sz="4" w:space="0"/>
              <w:left w:val="nil"/>
              <w:bottom w:val="single" w:color="auto" w:sz="4" w:space="0"/>
              <w:right w:val="single" w:color="auto" w:sz="4" w:space="0"/>
            </w:tcBorders>
            <w:shd w:val="clear" w:color="auto" w:fill="auto"/>
            <w:noWrap w:val="0"/>
            <w:vAlign w:val="center"/>
          </w:tcPr>
          <w:p w14:paraId="26732F35">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shd w:val="clear" w:color="auto" w:fill="auto"/>
            <w:noWrap w:val="0"/>
            <w:vAlign w:val="center"/>
          </w:tcPr>
          <w:p w14:paraId="62E5942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副高及以上职称</w:t>
            </w:r>
            <w:r>
              <w:rPr>
                <w:rFonts w:hint="eastAsia" w:ascii="宋体" w:hAnsi="宋体" w:eastAsia="宋体" w:cs="宋体"/>
                <w:i w:val="0"/>
                <w:iCs w:val="0"/>
                <w:color w:val="auto"/>
                <w:kern w:val="0"/>
                <w:sz w:val="20"/>
                <w:szCs w:val="20"/>
                <w:highlight w:val="none"/>
                <w:u w:val="none"/>
                <w:lang w:val="en-US" w:eastAsia="zh-CN" w:bidi="ar"/>
              </w:rPr>
              <w:t>或高级技师及以上</w:t>
            </w:r>
          </w:p>
        </w:tc>
        <w:tc>
          <w:tcPr>
            <w:tcW w:w="341" w:type="pct"/>
            <w:tcBorders>
              <w:top w:val="single" w:color="auto" w:sz="4" w:space="0"/>
              <w:left w:val="nil"/>
              <w:bottom w:val="single" w:color="auto" w:sz="4" w:space="0"/>
              <w:right w:val="single" w:color="auto" w:sz="4" w:space="0"/>
            </w:tcBorders>
            <w:shd w:val="clear" w:color="auto" w:fill="auto"/>
            <w:noWrap w:val="0"/>
            <w:vAlign w:val="center"/>
          </w:tcPr>
          <w:p w14:paraId="418DD4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469" w:type="pct"/>
            <w:tcBorders>
              <w:top w:val="single" w:color="auto" w:sz="4" w:space="0"/>
              <w:left w:val="nil"/>
              <w:bottom w:val="single" w:color="auto" w:sz="4" w:space="0"/>
              <w:right w:val="single" w:color="auto" w:sz="4" w:space="0"/>
            </w:tcBorders>
            <w:shd w:val="clear" w:color="auto" w:fill="auto"/>
            <w:noWrap w:val="0"/>
            <w:vAlign w:val="center"/>
          </w:tcPr>
          <w:p w14:paraId="5B027A8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无</w:t>
            </w:r>
          </w:p>
        </w:tc>
        <w:tc>
          <w:tcPr>
            <w:tcW w:w="320" w:type="pct"/>
            <w:tcBorders>
              <w:top w:val="single" w:color="auto" w:sz="4" w:space="0"/>
              <w:left w:val="nil"/>
              <w:bottom w:val="single" w:color="auto" w:sz="4" w:space="0"/>
              <w:right w:val="single" w:color="auto" w:sz="4" w:space="0"/>
            </w:tcBorders>
            <w:shd w:val="clear" w:color="auto" w:fill="auto"/>
            <w:noWrap w:val="0"/>
            <w:vAlign w:val="center"/>
          </w:tcPr>
          <w:p w14:paraId="5A258642">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51366FB8">
            <w:pPr>
              <w:keepNext w:val="0"/>
              <w:keepLines w:val="0"/>
              <w:widowControl/>
              <w:suppressLineNumbers w:val="0"/>
              <w:jc w:val="center"/>
              <w:textAlignment w:val="center"/>
              <w:rPr>
                <w:rFonts w:hint="eastAsia" w:ascii="宋体" w:hAnsi="宋体" w:cs="宋体"/>
                <w:i w:val="0"/>
                <w:iCs w:val="0"/>
                <w:color w:val="auto"/>
                <w:sz w:val="20"/>
                <w:szCs w:val="20"/>
                <w:highlight w:val="none"/>
                <w:u w:val="none"/>
                <w:lang w:val="en-US" w:eastAsia="zh-CN"/>
              </w:rPr>
            </w:pPr>
            <w:r>
              <w:rPr>
                <w:rFonts w:hint="eastAsia" w:ascii="宋体" w:hAnsi="宋体" w:cs="宋体"/>
                <w:color w:val="auto"/>
                <w:sz w:val="20"/>
                <w:szCs w:val="20"/>
                <w:highlight w:val="none"/>
                <w:lang w:val="en-US" w:eastAsia="zh-CN"/>
              </w:rPr>
              <w:t>事业编制</w:t>
            </w:r>
          </w:p>
        </w:tc>
        <w:tc>
          <w:tcPr>
            <w:tcW w:w="298" w:type="pct"/>
            <w:vMerge w:val="continue"/>
            <w:tcBorders>
              <w:left w:val="nil"/>
              <w:bottom w:val="single" w:color="auto" w:sz="4" w:space="0"/>
              <w:right w:val="single" w:color="auto" w:sz="4" w:space="0"/>
            </w:tcBorders>
            <w:noWrap w:val="0"/>
            <w:vAlign w:val="center"/>
          </w:tcPr>
          <w:p w14:paraId="03ECD91A">
            <w:pPr>
              <w:jc w:val="center"/>
              <w:rPr>
                <w:rFonts w:hint="eastAsia" w:ascii="宋体" w:hAnsi="宋体" w:eastAsia="宋体" w:cs="宋体"/>
                <w:color w:val="auto"/>
                <w:kern w:val="0"/>
                <w:sz w:val="20"/>
                <w:szCs w:val="20"/>
                <w:highlight w:val="none"/>
              </w:rPr>
            </w:pPr>
          </w:p>
        </w:tc>
      </w:tr>
      <w:tr w14:paraId="0C50FB55">
        <w:tblPrEx>
          <w:tblCellMar>
            <w:top w:w="0" w:type="dxa"/>
            <w:left w:w="108" w:type="dxa"/>
            <w:bottom w:w="0" w:type="dxa"/>
            <w:right w:w="108" w:type="dxa"/>
          </w:tblCellMar>
        </w:tblPrEx>
        <w:trPr>
          <w:trHeight w:val="1147"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6C648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sz w:val="18"/>
                <w:szCs w:val="18"/>
                <w:highlight w:val="none"/>
                <w:lang w:val="en-US" w:eastAsia="zh-CN"/>
              </w:rPr>
              <w:t>08</w:t>
            </w:r>
          </w:p>
        </w:tc>
        <w:tc>
          <w:tcPr>
            <w:tcW w:w="451" w:type="pct"/>
            <w:tcBorders>
              <w:top w:val="single" w:color="auto" w:sz="4" w:space="0"/>
              <w:left w:val="nil"/>
              <w:bottom w:val="single" w:color="auto" w:sz="4" w:space="0"/>
              <w:right w:val="single" w:color="auto" w:sz="4" w:space="0"/>
            </w:tcBorders>
            <w:shd w:val="clear" w:color="auto" w:fill="auto"/>
            <w:noWrap w:val="0"/>
            <w:vAlign w:val="center"/>
          </w:tcPr>
          <w:p w14:paraId="017031D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审计人员</w:t>
            </w:r>
          </w:p>
        </w:tc>
        <w:tc>
          <w:tcPr>
            <w:tcW w:w="270" w:type="pct"/>
            <w:tcBorders>
              <w:top w:val="single" w:color="auto" w:sz="4" w:space="0"/>
              <w:left w:val="nil"/>
              <w:bottom w:val="single" w:color="auto" w:sz="4" w:space="0"/>
              <w:right w:val="single" w:color="auto" w:sz="4" w:space="0"/>
            </w:tcBorders>
            <w:shd w:val="clear" w:color="auto" w:fill="auto"/>
            <w:noWrap w:val="0"/>
            <w:vAlign w:val="center"/>
          </w:tcPr>
          <w:p w14:paraId="33A5EC0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356" w:type="pct"/>
            <w:tcBorders>
              <w:top w:val="single" w:color="auto" w:sz="4" w:space="0"/>
              <w:left w:val="nil"/>
              <w:bottom w:val="single" w:color="auto" w:sz="4" w:space="0"/>
              <w:right w:val="single" w:color="auto" w:sz="4" w:space="0"/>
            </w:tcBorders>
            <w:shd w:val="clear" w:color="auto" w:fill="auto"/>
            <w:noWrap w:val="0"/>
            <w:vAlign w:val="center"/>
          </w:tcPr>
          <w:p w14:paraId="04E7289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专业技术岗</w:t>
            </w:r>
          </w:p>
        </w:tc>
        <w:tc>
          <w:tcPr>
            <w:tcW w:w="646" w:type="pct"/>
            <w:tcBorders>
              <w:top w:val="single" w:color="auto" w:sz="4" w:space="0"/>
              <w:left w:val="nil"/>
              <w:bottom w:val="single" w:color="auto" w:sz="4" w:space="0"/>
              <w:right w:val="single" w:color="auto" w:sz="4" w:space="0"/>
            </w:tcBorders>
            <w:shd w:val="clear" w:color="auto" w:fill="auto"/>
            <w:noWrap w:val="0"/>
            <w:vAlign w:val="center"/>
          </w:tcPr>
          <w:p w14:paraId="3AA15C1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工程造价、土木工程、工程管理、会计学类、审计学类、经济学类、工商管理类</w:t>
            </w:r>
          </w:p>
        </w:tc>
        <w:tc>
          <w:tcPr>
            <w:tcW w:w="285" w:type="pct"/>
            <w:tcBorders>
              <w:top w:val="single" w:color="auto" w:sz="4" w:space="0"/>
              <w:left w:val="nil"/>
              <w:bottom w:val="single" w:color="auto" w:sz="4" w:space="0"/>
              <w:right w:val="single" w:color="auto" w:sz="4" w:space="0"/>
            </w:tcBorders>
            <w:shd w:val="clear" w:color="auto" w:fill="auto"/>
            <w:noWrap w:val="0"/>
            <w:vAlign w:val="center"/>
          </w:tcPr>
          <w:p w14:paraId="2A43940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本科及以上</w:t>
            </w:r>
          </w:p>
        </w:tc>
        <w:tc>
          <w:tcPr>
            <w:tcW w:w="307" w:type="pct"/>
            <w:tcBorders>
              <w:top w:val="single" w:color="auto" w:sz="4" w:space="0"/>
              <w:left w:val="nil"/>
              <w:bottom w:val="single" w:color="auto" w:sz="4" w:space="0"/>
              <w:right w:val="single" w:color="auto" w:sz="4" w:space="0"/>
            </w:tcBorders>
            <w:shd w:val="clear" w:color="auto" w:fill="auto"/>
            <w:noWrap w:val="0"/>
            <w:vAlign w:val="center"/>
          </w:tcPr>
          <w:p w14:paraId="1894D79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学士及以上</w:t>
            </w:r>
          </w:p>
        </w:tc>
        <w:tc>
          <w:tcPr>
            <w:tcW w:w="330" w:type="pct"/>
            <w:tcBorders>
              <w:top w:val="single" w:color="auto" w:sz="4" w:space="0"/>
              <w:left w:val="nil"/>
              <w:bottom w:val="single" w:color="auto" w:sz="4" w:space="0"/>
              <w:right w:val="single" w:color="auto" w:sz="4" w:space="0"/>
            </w:tcBorders>
            <w:shd w:val="clear" w:color="auto" w:fill="auto"/>
            <w:noWrap w:val="0"/>
            <w:vAlign w:val="center"/>
          </w:tcPr>
          <w:p w14:paraId="2830169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45</w:t>
            </w:r>
            <w:r>
              <w:rPr>
                <w:rFonts w:hint="eastAsia" w:ascii="宋体" w:hAnsi="宋体" w:eastAsia="宋体" w:cs="宋体"/>
                <w:i w:val="0"/>
                <w:iCs w:val="0"/>
                <w:color w:val="auto"/>
                <w:kern w:val="0"/>
                <w:sz w:val="20"/>
                <w:szCs w:val="20"/>
                <w:highlight w:val="none"/>
                <w:u w:val="none"/>
                <w:lang w:val="en-US" w:eastAsia="zh-CN" w:bidi="ar"/>
              </w:rPr>
              <w:t>周岁及以下</w:t>
            </w:r>
          </w:p>
        </w:tc>
        <w:tc>
          <w:tcPr>
            <w:tcW w:w="368" w:type="pct"/>
            <w:tcBorders>
              <w:top w:val="single" w:color="auto" w:sz="4" w:space="0"/>
              <w:left w:val="nil"/>
              <w:bottom w:val="single" w:color="auto" w:sz="4" w:space="0"/>
              <w:right w:val="single" w:color="auto" w:sz="4" w:space="0"/>
            </w:tcBorders>
            <w:shd w:val="clear" w:color="auto" w:fill="auto"/>
            <w:noWrap w:val="0"/>
            <w:vAlign w:val="center"/>
          </w:tcPr>
          <w:p w14:paraId="4EAB65B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副高及以上职称</w:t>
            </w:r>
          </w:p>
        </w:tc>
        <w:tc>
          <w:tcPr>
            <w:tcW w:w="341" w:type="pct"/>
            <w:tcBorders>
              <w:top w:val="single" w:color="auto" w:sz="4" w:space="0"/>
              <w:left w:val="nil"/>
              <w:bottom w:val="single" w:color="auto" w:sz="4" w:space="0"/>
              <w:right w:val="single" w:color="auto" w:sz="4" w:space="0"/>
            </w:tcBorders>
            <w:shd w:val="clear" w:color="auto" w:fill="auto"/>
            <w:noWrap w:val="0"/>
            <w:vAlign w:val="center"/>
          </w:tcPr>
          <w:p w14:paraId="415F7A2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不限</w:t>
            </w:r>
          </w:p>
        </w:tc>
        <w:tc>
          <w:tcPr>
            <w:tcW w:w="469" w:type="pct"/>
            <w:tcBorders>
              <w:top w:val="single" w:color="auto" w:sz="4" w:space="0"/>
              <w:left w:val="nil"/>
              <w:bottom w:val="single" w:color="auto" w:sz="4" w:space="0"/>
              <w:right w:val="single" w:color="auto" w:sz="4" w:space="0"/>
            </w:tcBorders>
            <w:shd w:val="clear" w:color="auto" w:fill="auto"/>
            <w:noWrap w:val="0"/>
            <w:vAlign w:val="center"/>
          </w:tcPr>
          <w:p w14:paraId="3C734DC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具有2年及以上工作经历</w:t>
            </w:r>
          </w:p>
        </w:tc>
        <w:tc>
          <w:tcPr>
            <w:tcW w:w="320" w:type="pct"/>
            <w:tcBorders>
              <w:top w:val="single" w:color="auto" w:sz="4" w:space="0"/>
              <w:left w:val="nil"/>
              <w:bottom w:val="single" w:color="auto" w:sz="4" w:space="0"/>
              <w:right w:val="single" w:color="auto" w:sz="4" w:space="0"/>
            </w:tcBorders>
            <w:shd w:val="clear" w:color="auto" w:fill="auto"/>
            <w:noWrap w:val="0"/>
            <w:vAlign w:val="center"/>
          </w:tcPr>
          <w:p w14:paraId="74475ED4">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直接考核</w:t>
            </w:r>
          </w:p>
        </w:tc>
        <w:tc>
          <w:tcPr>
            <w:tcW w:w="320" w:type="pct"/>
            <w:tcBorders>
              <w:top w:val="single" w:color="auto" w:sz="4" w:space="0"/>
              <w:left w:val="nil"/>
              <w:bottom w:val="single" w:color="auto" w:sz="4" w:space="0"/>
              <w:right w:val="single" w:color="auto" w:sz="4" w:space="0"/>
            </w:tcBorders>
            <w:noWrap w:val="0"/>
            <w:vAlign w:val="center"/>
          </w:tcPr>
          <w:p w14:paraId="3D4C281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事业编制</w:t>
            </w:r>
          </w:p>
        </w:tc>
        <w:tc>
          <w:tcPr>
            <w:tcW w:w="298" w:type="pct"/>
            <w:vMerge w:val="continue"/>
            <w:tcBorders>
              <w:left w:val="nil"/>
              <w:bottom w:val="single" w:color="auto" w:sz="4" w:space="0"/>
              <w:right w:val="single" w:color="auto" w:sz="4" w:space="0"/>
            </w:tcBorders>
            <w:noWrap w:val="0"/>
            <w:vAlign w:val="center"/>
          </w:tcPr>
          <w:p w14:paraId="486561DB">
            <w:pPr>
              <w:jc w:val="center"/>
              <w:rPr>
                <w:rFonts w:hint="eastAsia" w:ascii="宋体" w:hAnsi="宋体" w:eastAsia="宋体" w:cs="宋体"/>
                <w:color w:val="auto"/>
                <w:kern w:val="0"/>
                <w:sz w:val="20"/>
                <w:szCs w:val="20"/>
                <w:highlight w:val="none"/>
              </w:rPr>
            </w:pPr>
          </w:p>
        </w:tc>
      </w:tr>
    </w:tbl>
    <w:p w14:paraId="664D96CB">
      <w:pPr>
        <w:widowControl/>
        <w:spacing w:line="560" w:lineRule="exact"/>
        <w:rPr>
          <w:rFonts w:hint="eastAsia"/>
          <w:highlight w:val="none"/>
        </w:rPr>
      </w:pPr>
      <w:r>
        <w:rPr>
          <w:rFonts w:hint="eastAsia"/>
          <w:highlight w:val="none"/>
        </w:rPr>
        <w:t>注：学科类别、专业名称参考《广西壮族自治区考试录用公务员专业分类指导目录（202</w:t>
      </w:r>
      <w:r>
        <w:rPr>
          <w:rFonts w:hint="eastAsia"/>
          <w:highlight w:val="none"/>
          <w:lang w:val="en-US" w:eastAsia="zh-CN"/>
        </w:rPr>
        <w:t>6</w:t>
      </w:r>
      <w:r>
        <w:rPr>
          <w:rFonts w:hint="eastAsia"/>
          <w:highlight w:val="none"/>
        </w:rPr>
        <w:t>年版）》或国家教育行政部门制定的学科专业目录</w:t>
      </w:r>
    </w:p>
    <w:p w14:paraId="7701B35D">
      <w:pPr>
        <w:widowControl/>
        <w:spacing w:line="560" w:lineRule="exact"/>
        <w:rPr>
          <w:rFonts w:hint="eastAsia" w:ascii="仿宋_GB2312" w:hAnsi="仿宋_GB2312" w:eastAsia="仿宋_GB2312" w:cs="仿宋_GB2312"/>
          <w:sz w:val="32"/>
          <w:szCs w:val="32"/>
          <w:highlight w:val="none"/>
        </w:rPr>
      </w:pPr>
    </w:p>
    <w:sectPr>
      <w:pgSz w:w="16838" w:h="11906" w:orient="landscape"/>
      <w:pgMar w:top="1417" w:right="1440" w:bottom="1417"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0417CB-4D8A-4790-BA61-39DD176CF9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41B51054-4AB6-4E64-B44C-F70B265C1DBB}"/>
  </w:font>
  <w:font w:name="仿宋_GB2312">
    <w:panose1 w:val="02010609030101010101"/>
    <w:charset w:val="86"/>
    <w:family w:val="modern"/>
    <w:pitch w:val="default"/>
    <w:sig w:usb0="00000001" w:usb1="080E0000" w:usb2="00000000" w:usb3="00000000" w:csb0="00040000" w:csb1="00000000"/>
    <w:embedRegular r:id="rId3" w:fontKey="{79AAFC83-59B1-458B-8A71-39B49041DD55}"/>
  </w:font>
  <w:font w:name="微软雅黑">
    <w:panose1 w:val="020B0503020204020204"/>
    <w:charset w:val="86"/>
    <w:family w:val="auto"/>
    <w:pitch w:val="default"/>
    <w:sig w:usb0="80000287" w:usb1="2ACF3C50" w:usb2="00000016" w:usb3="00000000" w:csb0="0004001F" w:csb1="00000000"/>
    <w:embedRegular r:id="rId4" w:fontKey="{349C8668-8D7F-4EB9-B93C-429DEE3FB423}"/>
  </w:font>
  <w:font w:name="WPSEMBED1">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82AC7">
    <w:pPr>
      <w:pStyle w:val="3"/>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8EDE48">
                          <w:pPr>
                            <w:pStyle w:val="3"/>
                            <w:rPr>
                              <w:rStyle w:val="10"/>
                              <w:rFonts w:hint="eastAsia"/>
                              <w:sz w:val="28"/>
                              <w:szCs w:val="28"/>
                            </w:rPr>
                          </w:pPr>
                          <w:r>
                            <w:rPr>
                              <w:rStyle w:val="10"/>
                              <w:rFonts w:hint="eastAsia"/>
                              <w:sz w:val="28"/>
                              <w:szCs w:val="28"/>
                            </w:rPr>
                            <w:t>—</w:t>
                          </w: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7</w:t>
                          </w:r>
                          <w:r>
                            <w:rPr>
                              <w:sz w:val="28"/>
                              <w:szCs w:val="28"/>
                            </w:rPr>
                            <w:fldChar w:fldCharType="end"/>
                          </w:r>
                          <w:r>
                            <w:rPr>
                              <w:rStyle w:val="10"/>
                              <w:rFonts w:hint="eastAsia"/>
                              <w:sz w:val="28"/>
                              <w:szCs w:val="28"/>
                            </w:rPr>
                            <w:t>—</w:t>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LazoskBAACZ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mUOG5x4OefP86/Hs8P38mb&#10;LE8foMasu4B5aXjvh5w6+QGdmfWgos1f5EMwjuKeLuLKIRGRH62Wq1WFIYGx+YI47Ol5iJA+SG9J&#10;NhoacXpFVH78BGlMnVNyNedvtTHo57VxfzkQM3tY7n3sMVtp2A1T4zvfnpBPj4NvqMM9p8R8dKhr&#10;3pHZiLOxm41DiHrflSXK9SC8OyRsovSWK4ywU2GcWGE3bVdeiT/vJevpj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gtrOiyQEAAJkDAAAOAAAAAAAAAAEAIAAAAB4BAABkcnMvZTJvRG9j&#10;LnhtbFBLBQYAAAAABgAGAFkBAABZBQAAAAA=&#10;">
              <v:fill on="f" focussize="0,0"/>
              <v:stroke on="f"/>
              <v:imagedata o:title=""/>
              <o:lock v:ext="edit" aspectratio="f"/>
              <v:textbox inset="0mm,0mm,0mm,0mm" style="mso-fit-shape-to-text:t;">
                <w:txbxContent>
                  <w:p w14:paraId="0A8EDE48">
                    <w:pPr>
                      <w:pStyle w:val="3"/>
                      <w:rPr>
                        <w:rStyle w:val="10"/>
                        <w:rFonts w:hint="eastAsia"/>
                        <w:sz w:val="28"/>
                        <w:szCs w:val="28"/>
                      </w:rPr>
                    </w:pPr>
                    <w:r>
                      <w:rPr>
                        <w:rStyle w:val="10"/>
                        <w:rFonts w:hint="eastAsia"/>
                        <w:sz w:val="28"/>
                        <w:szCs w:val="28"/>
                      </w:rPr>
                      <w:t>—</w:t>
                    </w: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7</w:t>
                    </w:r>
                    <w:r>
                      <w:rPr>
                        <w:sz w:val="28"/>
                        <w:szCs w:val="28"/>
                      </w:rPr>
                      <w:fldChar w:fldCharType="end"/>
                    </w:r>
                    <w:r>
                      <w:rPr>
                        <w:rStyle w:val="10"/>
                        <w:rFonts w:hint="eastAsia"/>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89CB0">
    <w:pPr>
      <w:pStyle w:val="3"/>
      <w:ind w:right="360" w:firstLine="360"/>
      <w:rPr>
        <w:rFonts w:hint="eastAsia" w:ascii="宋体" w:hAnsi="宋体" w:cs="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538C0">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wODBkOWM4ZWIzMGE2OGM2NTM3NzM2YzI2MDY2ODcifQ=="/>
  </w:docVars>
  <w:rsids>
    <w:rsidRoot w:val="0098566C"/>
    <w:rsid w:val="00012731"/>
    <w:rsid w:val="00024003"/>
    <w:rsid w:val="0004352C"/>
    <w:rsid w:val="000514A0"/>
    <w:rsid w:val="00052ABD"/>
    <w:rsid w:val="00061877"/>
    <w:rsid w:val="00063347"/>
    <w:rsid w:val="00064864"/>
    <w:rsid w:val="00094F6C"/>
    <w:rsid w:val="000A5AA5"/>
    <w:rsid w:val="000E19DB"/>
    <w:rsid w:val="000E7871"/>
    <w:rsid w:val="000F2B9F"/>
    <w:rsid w:val="00100CC6"/>
    <w:rsid w:val="00102DE7"/>
    <w:rsid w:val="00105391"/>
    <w:rsid w:val="00107E96"/>
    <w:rsid w:val="00113810"/>
    <w:rsid w:val="00122CF9"/>
    <w:rsid w:val="00137B7C"/>
    <w:rsid w:val="00161263"/>
    <w:rsid w:val="001631C7"/>
    <w:rsid w:val="00163E34"/>
    <w:rsid w:val="00166DDF"/>
    <w:rsid w:val="001905F0"/>
    <w:rsid w:val="00192508"/>
    <w:rsid w:val="001A1384"/>
    <w:rsid w:val="001A2CB5"/>
    <w:rsid w:val="001A4613"/>
    <w:rsid w:val="001A7E87"/>
    <w:rsid w:val="001B0B52"/>
    <w:rsid w:val="001B1E82"/>
    <w:rsid w:val="001B601F"/>
    <w:rsid w:val="001C2DB1"/>
    <w:rsid w:val="001C53D6"/>
    <w:rsid w:val="001D2CF1"/>
    <w:rsid w:val="001F309F"/>
    <w:rsid w:val="002007B2"/>
    <w:rsid w:val="00203A29"/>
    <w:rsid w:val="002147CB"/>
    <w:rsid w:val="00217561"/>
    <w:rsid w:val="002251BC"/>
    <w:rsid w:val="00235EDC"/>
    <w:rsid w:val="00243D1E"/>
    <w:rsid w:val="0025471A"/>
    <w:rsid w:val="002561B2"/>
    <w:rsid w:val="002564C7"/>
    <w:rsid w:val="002708B7"/>
    <w:rsid w:val="002765D5"/>
    <w:rsid w:val="00292D0D"/>
    <w:rsid w:val="002B3936"/>
    <w:rsid w:val="002C339E"/>
    <w:rsid w:val="002C3A86"/>
    <w:rsid w:val="002D6B59"/>
    <w:rsid w:val="002D75E1"/>
    <w:rsid w:val="002E3301"/>
    <w:rsid w:val="002E3D06"/>
    <w:rsid w:val="002E6911"/>
    <w:rsid w:val="002F51A8"/>
    <w:rsid w:val="00300C73"/>
    <w:rsid w:val="0032220B"/>
    <w:rsid w:val="00324A6F"/>
    <w:rsid w:val="0032601E"/>
    <w:rsid w:val="00326AC5"/>
    <w:rsid w:val="00330E4A"/>
    <w:rsid w:val="003348D0"/>
    <w:rsid w:val="0033633D"/>
    <w:rsid w:val="003374F0"/>
    <w:rsid w:val="00353A34"/>
    <w:rsid w:val="0035523B"/>
    <w:rsid w:val="00367007"/>
    <w:rsid w:val="003933BC"/>
    <w:rsid w:val="00397DB6"/>
    <w:rsid w:val="003A5C17"/>
    <w:rsid w:val="003B08F9"/>
    <w:rsid w:val="003C2B80"/>
    <w:rsid w:val="003C5A2C"/>
    <w:rsid w:val="003D4829"/>
    <w:rsid w:val="003D5C6C"/>
    <w:rsid w:val="003E4195"/>
    <w:rsid w:val="003F1351"/>
    <w:rsid w:val="0042391C"/>
    <w:rsid w:val="00431EE9"/>
    <w:rsid w:val="00447587"/>
    <w:rsid w:val="00453FCB"/>
    <w:rsid w:val="0046031C"/>
    <w:rsid w:val="00467661"/>
    <w:rsid w:val="00480B50"/>
    <w:rsid w:val="0049590C"/>
    <w:rsid w:val="004967F7"/>
    <w:rsid w:val="004A53FA"/>
    <w:rsid w:val="004B42CC"/>
    <w:rsid w:val="004C718C"/>
    <w:rsid w:val="004E5140"/>
    <w:rsid w:val="004E7776"/>
    <w:rsid w:val="004F3373"/>
    <w:rsid w:val="004F5F71"/>
    <w:rsid w:val="0050482E"/>
    <w:rsid w:val="00521162"/>
    <w:rsid w:val="00523145"/>
    <w:rsid w:val="0052513C"/>
    <w:rsid w:val="00542469"/>
    <w:rsid w:val="0054426A"/>
    <w:rsid w:val="00545DEC"/>
    <w:rsid w:val="005462B7"/>
    <w:rsid w:val="00546B48"/>
    <w:rsid w:val="005614BD"/>
    <w:rsid w:val="00563077"/>
    <w:rsid w:val="005763F0"/>
    <w:rsid w:val="005778B6"/>
    <w:rsid w:val="00580ADE"/>
    <w:rsid w:val="0058309D"/>
    <w:rsid w:val="00591708"/>
    <w:rsid w:val="00591DE7"/>
    <w:rsid w:val="00596367"/>
    <w:rsid w:val="005B03C2"/>
    <w:rsid w:val="005C6672"/>
    <w:rsid w:val="005D06A4"/>
    <w:rsid w:val="005D1E22"/>
    <w:rsid w:val="005D2131"/>
    <w:rsid w:val="005D2BE2"/>
    <w:rsid w:val="005D64DC"/>
    <w:rsid w:val="005E5F57"/>
    <w:rsid w:val="005F6F4F"/>
    <w:rsid w:val="006369E4"/>
    <w:rsid w:val="00637496"/>
    <w:rsid w:val="00644196"/>
    <w:rsid w:val="00651C97"/>
    <w:rsid w:val="00663043"/>
    <w:rsid w:val="006724E7"/>
    <w:rsid w:val="00697716"/>
    <w:rsid w:val="006A2F2C"/>
    <w:rsid w:val="006A542E"/>
    <w:rsid w:val="006A5937"/>
    <w:rsid w:val="006B0543"/>
    <w:rsid w:val="006B1670"/>
    <w:rsid w:val="006C60EC"/>
    <w:rsid w:val="006C7629"/>
    <w:rsid w:val="006D0607"/>
    <w:rsid w:val="006F18C7"/>
    <w:rsid w:val="006F6D60"/>
    <w:rsid w:val="0070041F"/>
    <w:rsid w:val="00717916"/>
    <w:rsid w:val="00724BE1"/>
    <w:rsid w:val="0074372E"/>
    <w:rsid w:val="007623DA"/>
    <w:rsid w:val="00763497"/>
    <w:rsid w:val="007702DA"/>
    <w:rsid w:val="007742AC"/>
    <w:rsid w:val="00775A6F"/>
    <w:rsid w:val="00782C1A"/>
    <w:rsid w:val="00792556"/>
    <w:rsid w:val="0079293C"/>
    <w:rsid w:val="007957B8"/>
    <w:rsid w:val="00796128"/>
    <w:rsid w:val="007A46D0"/>
    <w:rsid w:val="007A7DBB"/>
    <w:rsid w:val="007C74B5"/>
    <w:rsid w:val="007E21D4"/>
    <w:rsid w:val="007E7C45"/>
    <w:rsid w:val="007F4AEF"/>
    <w:rsid w:val="007F7A17"/>
    <w:rsid w:val="0082547B"/>
    <w:rsid w:val="00827770"/>
    <w:rsid w:val="00836E91"/>
    <w:rsid w:val="00847A94"/>
    <w:rsid w:val="0085013B"/>
    <w:rsid w:val="00862472"/>
    <w:rsid w:val="00864FC7"/>
    <w:rsid w:val="008653D3"/>
    <w:rsid w:val="0086662D"/>
    <w:rsid w:val="00871E62"/>
    <w:rsid w:val="00882908"/>
    <w:rsid w:val="00887A29"/>
    <w:rsid w:val="0089484F"/>
    <w:rsid w:val="008C6DB8"/>
    <w:rsid w:val="00904BE3"/>
    <w:rsid w:val="00907D1D"/>
    <w:rsid w:val="009256EC"/>
    <w:rsid w:val="00955DC0"/>
    <w:rsid w:val="009604CB"/>
    <w:rsid w:val="00965466"/>
    <w:rsid w:val="00970B1F"/>
    <w:rsid w:val="00972AF4"/>
    <w:rsid w:val="0098566C"/>
    <w:rsid w:val="00990AE7"/>
    <w:rsid w:val="00997640"/>
    <w:rsid w:val="009B4D32"/>
    <w:rsid w:val="009C4219"/>
    <w:rsid w:val="009C57B5"/>
    <w:rsid w:val="009D041D"/>
    <w:rsid w:val="009D5F05"/>
    <w:rsid w:val="009E4AD9"/>
    <w:rsid w:val="009F1BC5"/>
    <w:rsid w:val="009F4AA5"/>
    <w:rsid w:val="009F59BD"/>
    <w:rsid w:val="009F6D2C"/>
    <w:rsid w:val="009F6E85"/>
    <w:rsid w:val="00A07C9A"/>
    <w:rsid w:val="00A127EA"/>
    <w:rsid w:val="00A14A32"/>
    <w:rsid w:val="00A30D3D"/>
    <w:rsid w:val="00A31227"/>
    <w:rsid w:val="00A326FB"/>
    <w:rsid w:val="00A357B4"/>
    <w:rsid w:val="00A370E8"/>
    <w:rsid w:val="00A44915"/>
    <w:rsid w:val="00A61AC5"/>
    <w:rsid w:val="00A70665"/>
    <w:rsid w:val="00A734D5"/>
    <w:rsid w:val="00A7613D"/>
    <w:rsid w:val="00A76A1C"/>
    <w:rsid w:val="00A83136"/>
    <w:rsid w:val="00A85906"/>
    <w:rsid w:val="00A86405"/>
    <w:rsid w:val="00A92D61"/>
    <w:rsid w:val="00AA4422"/>
    <w:rsid w:val="00AA5B68"/>
    <w:rsid w:val="00AB7CCF"/>
    <w:rsid w:val="00AD0172"/>
    <w:rsid w:val="00AD081A"/>
    <w:rsid w:val="00AD5651"/>
    <w:rsid w:val="00AD605E"/>
    <w:rsid w:val="00AD6670"/>
    <w:rsid w:val="00AD7D20"/>
    <w:rsid w:val="00AF007F"/>
    <w:rsid w:val="00AF3722"/>
    <w:rsid w:val="00AF56B1"/>
    <w:rsid w:val="00AF7583"/>
    <w:rsid w:val="00AF7C21"/>
    <w:rsid w:val="00B06D95"/>
    <w:rsid w:val="00B1516A"/>
    <w:rsid w:val="00B207A7"/>
    <w:rsid w:val="00B20A7A"/>
    <w:rsid w:val="00B23970"/>
    <w:rsid w:val="00B3751A"/>
    <w:rsid w:val="00B432B0"/>
    <w:rsid w:val="00B44DB1"/>
    <w:rsid w:val="00B51C81"/>
    <w:rsid w:val="00B61CD7"/>
    <w:rsid w:val="00B63E82"/>
    <w:rsid w:val="00B70249"/>
    <w:rsid w:val="00B75821"/>
    <w:rsid w:val="00BA5CB4"/>
    <w:rsid w:val="00BA71FF"/>
    <w:rsid w:val="00BB0824"/>
    <w:rsid w:val="00BC0B36"/>
    <w:rsid w:val="00BC1542"/>
    <w:rsid w:val="00BD2BB9"/>
    <w:rsid w:val="00BF0A45"/>
    <w:rsid w:val="00C12268"/>
    <w:rsid w:val="00C139E1"/>
    <w:rsid w:val="00C2004C"/>
    <w:rsid w:val="00C21999"/>
    <w:rsid w:val="00C2401C"/>
    <w:rsid w:val="00C27E7A"/>
    <w:rsid w:val="00C321B0"/>
    <w:rsid w:val="00C33796"/>
    <w:rsid w:val="00C37CF3"/>
    <w:rsid w:val="00C5229E"/>
    <w:rsid w:val="00C56191"/>
    <w:rsid w:val="00C67701"/>
    <w:rsid w:val="00C72129"/>
    <w:rsid w:val="00C731DC"/>
    <w:rsid w:val="00C75B9D"/>
    <w:rsid w:val="00C80968"/>
    <w:rsid w:val="00C87190"/>
    <w:rsid w:val="00C9661D"/>
    <w:rsid w:val="00C97D84"/>
    <w:rsid w:val="00CC0FAF"/>
    <w:rsid w:val="00CC2498"/>
    <w:rsid w:val="00CC6F2A"/>
    <w:rsid w:val="00CD45CB"/>
    <w:rsid w:val="00CD6018"/>
    <w:rsid w:val="00CF2BFB"/>
    <w:rsid w:val="00CF7665"/>
    <w:rsid w:val="00D00F55"/>
    <w:rsid w:val="00D02777"/>
    <w:rsid w:val="00D04B99"/>
    <w:rsid w:val="00D05C74"/>
    <w:rsid w:val="00D118B0"/>
    <w:rsid w:val="00D15433"/>
    <w:rsid w:val="00D176D3"/>
    <w:rsid w:val="00D30B0E"/>
    <w:rsid w:val="00D35C58"/>
    <w:rsid w:val="00D44F02"/>
    <w:rsid w:val="00D4678E"/>
    <w:rsid w:val="00D6084A"/>
    <w:rsid w:val="00D66648"/>
    <w:rsid w:val="00D8271C"/>
    <w:rsid w:val="00D849F8"/>
    <w:rsid w:val="00D97E28"/>
    <w:rsid w:val="00DD20C7"/>
    <w:rsid w:val="00DD38B2"/>
    <w:rsid w:val="00DD47FD"/>
    <w:rsid w:val="00DE41CA"/>
    <w:rsid w:val="00DE4BBE"/>
    <w:rsid w:val="00DE6A4C"/>
    <w:rsid w:val="00E02BE6"/>
    <w:rsid w:val="00E03375"/>
    <w:rsid w:val="00E1649F"/>
    <w:rsid w:val="00E217D5"/>
    <w:rsid w:val="00E32609"/>
    <w:rsid w:val="00E35246"/>
    <w:rsid w:val="00E36F36"/>
    <w:rsid w:val="00E41FBA"/>
    <w:rsid w:val="00E43CEC"/>
    <w:rsid w:val="00E52E8B"/>
    <w:rsid w:val="00E54922"/>
    <w:rsid w:val="00E7250E"/>
    <w:rsid w:val="00E76B7A"/>
    <w:rsid w:val="00E830BD"/>
    <w:rsid w:val="00E86236"/>
    <w:rsid w:val="00EA16DC"/>
    <w:rsid w:val="00EA4B74"/>
    <w:rsid w:val="00EB0E0B"/>
    <w:rsid w:val="00EC2A75"/>
    <w:rsid w:val="00ED1F56"/>
    <w:rsid w:val="00ED2DD3"/>
    <w:rsid w:val="00ED54BF"/>
    <w:rsid w:val="00EE38E2"/>
    <w:rsid w:val="00EE5293"/>
    <w:rsid w:val="00EE595C"/>
    <w:rsid w:val="00EE66FE"/>
    <w:rsid w:val="00EF0533"/>
    <w:rsid w:val="00EF3BD5"/>
    <w:rsid w:val="00F00240"/>
    <w:rsid w:val="00F30C85"/>
    <w:rsid w:val="00F32416"/>
    <w:rsid w:val="00F54903"/>
    <w:rsid w:val="00F55C5E"/>
    <w:rsid w:val="00F7268B"/>
    <w:rsid w:val="00F8393D"/>
    <w:rsid w:val="00F8704E"/>
    <w:rsid w:val="00F971F9"/>
    <w:rsid w:val="00F97D61"/>
    <w:rsid w:val="00FA3B61"/>
    <w:rsid w:val="00FA5879"/>
    <w:rsid w:val="00FB1D7A"/>
    <w:rsid w:val="00FB261D"/>
    <w:rsid w:val="00FD39CF"/>
    <w:rsid w:val="00FD7010"/>
    <w:rsid w:val="00FE312C"/>
    <w:rsid w:val="00FE3F2E"/>
    <w:rsid w:val="00FF0A07"/>
    <w:rsid w:val="02886418"/>
    <w:rsid w:val="04AF7306"/>
    <w:rsid w:val="04D15A49"/>
    <w:rsid w:val="04E9133C"/>
    <w:rsid w:val="059437EB"/>
    <w:rsid w:val="05D92F74"/>
    <w:rsid w:val="07CC624D"/>
    <w:rsid w:val="09902337"/>
    <w:rsid w:val="09F828B4"/>
    <w:rsid w:val="0A04591A"/>
    <w:rsid w:val="0A2E7AE5"/>
    <w:rsid w:val="0A603AE7"/>
    <w:rsid w:val="0AAF63BA"/>
    <w:rsid w:val="0C1E4974"/>
    <w:rsid w:val="0C7B776C"/>
    <w:rsid w:val="0E011021"/>
    <w:rsid w:val="0E63196D"/>
    <w:rsid w:val="0E6651CA"/>
    <w:rsid w:val="0ED97709"/>
    <w:rsid w:val="0EEB4AF6"/>
    <w:rsid w:val="0FA916CA"/>
    <w:rsid w:val="111D4BBF"/>
    <w:rsid w:val="125318F2"/>
    <w:rsid w:val="12597BD7"/>
    <w:rsid w:val="1296233F"/>
    <w:rsid w:val="130F5342"/>
    <w:rsid w:val="14AC73BD"/>
    <w:rsid w:val="14AF1707"/>
    <w:rsid w:val="14B3505B"/>
    <w:rsid w:val="15200863"/>
    <w:rsid w:val="154261BC"/>
    <w:rsid w:val="15A84216"/>
    <w:rsid w:val="15B55A91"/>
    <w:rsid w:val="15F67F91"/>
    <w:rsid w:val="16006448"/>
    <w:rsid w:val="16A00995"/>
    <w:rsid w:val="16E95828"/>
    <w:rsid w:val="17D70A95"/>
    <w:rsid w:val="17E90D94"/>
    <w:rsid w:val="17F34A6F"/>
    <w:rsid w:val="18175D78"/>
    <w:rsid w:val="18657B12"/>
    <w:rsid w:val="18D317EA"/>
    <w:rsid w:val="190C66E8"/>
    <w:rsid w:val="193573E7"/>
    <w:rsid w:val="1A0D2705"/>
    <w:rsid w:val="1A680E38"/>
    <w:rsid w:val="1AA44125"/>
    <w:rsid w:val="1B0D251D"/>
    <w:rsid w:val="1B1227AE"/>
    <w:rsid w:val="1B9B4998"/>
    <w:rsid w:val="1BD1694D"/>
    <w:rsid w:val="1C0148FE"/>
    <w:rsid w:val="1C413F2E"/>
    <w:rsid w:val="1D635AC6"/>
    <w:rsid w:val="1DA84015"/>
    <w:rsid w:val="1F0B4BEB"/>
    <w:rsid w:val="20445BED"/>
    <w:rsid w:val="20B0299B"/>
    <w:rsid w:val="22AE3CFF"/>
    <w:rsid w:val="24317851"/>
    <w:rsid w:val="244E26AA"/>
    <w:rsid w:val="25666749"/>
    <w:rsid w:val="27357337"/>
    <w:rsid w:val="2836706E"/>
    <w:rsid w:val="292E31F6"/>
    <w:rsid w:val="29B20EF8"/>
    <w:rsid w:val="2A1B4A21"/>
    <w:rsid w:val="2B61557F"/>
    <w:rsid w:val="2BD40562"/>
    <w:rsid w:val="2BDC459E"/>
    <w:rsid w:val="2C852D52"/>
    <w:rsid w:val="2D106ABB"/>
    <w:rsid w:val="30160503"/>
    <w:rsid w:val="301F7B9D"/>
    <w:rsid w:val="31622802"/>
    <w:rsid w:val="31631E6F"/>
    <w:rsid w:val="317D33A1"/>
    <w:rsid w:val="31800BF8"/>
    <w:rsid w:val="31AF442C"/>
    <w:rsid w:val="33314A20"/>
    <w:rsid w:val="343C0957"/>
    <w:rsid w:val="348643A5"/>
    <w:rsid w:val="34E460F0"/>
    <w:rsid w:val="35031503"/>
    <w:rsid w:val="36D0144D"/>
    <w:rsid w:val="37D133C4"/>
    <w:rsid w:val="37D74AC5"/>
    <w:rsid w:val="3984104E"/>
    <w:rsid w:val="399A158F"/>
    <w:rsid w:val="3C9D18F5"/>
    <w:rsid w:val="3DBB535F"/>
    <w:rsid w:val="3ECE0822"/>
    <w:rsid w:val="3F226BBB"/>
    <w:rsid w:val="3F3B211F"/>
    <w:rsid w:val="3FF6053F"/>
    <w:rsid w:val="406B6161"/>
    <w:rsid w:val="40741386"/>
    <w:rsid w:val="412A71F2"/>
    <w:rsid w:val="41605423"/>
    <w:rsid w:val="42A81491"/>
    <w:rsid w:val="441C737B"/>
    <w:rsid w:val="44C32141"/>
    <w:rsid w:val="45642983"/>
    <w:rsid w:val="46121DAE"/>
    <w:rsid w:val="465459DB"/>
    <w:rsid w:val="4749211E"/>
    <w:rsid w:val="47E51988"/>
    <w:rsid w:val="48932156"/>
    <w:rsid w:val="48AC5EAF"/>
    <w:rsid w:val="496A7E76"/>
    <w:rsid w:val="4982783D"/>
    <w:rsid w:val="4A88774B"/>
    <w:rsid w:val="4C085477"/>
    <w:rsid w:val="4D73656D"/>
    <w:rsid w:val="4DC06CA3"/>
    <w:rsid w:val="4E490280"/>
    <w:rsid w:val="4E89582E"/>
    <w:rsid w:val="4EA771C9"/>
    <w:rsid w:val="4EF42999"/>
    <w:rsid w:val="4F6374DE"/>
    <w:rsid w:val="502671EF"/>
    <w:rsid w:val="50717BB5"/>
    <w:rsid w:val="50950F44"/>
    <w:rsid w:val="513F3F9C"/>
    <w:rsid w:val="514A5104"/>
    <w:rsid w:val="51734659"/>
    <w:rsid w:val="52753979"/>
    <w:rsid w:val="5453265F"/>
    <w:rsid w:val="551D56E7"/>
    <w:rsid w:val="57577AAA"/>
    <w:rsid w:val="58B66525"/>
    <w:rsid w:val="59013D89"/>
    <w:rsid w:val="5995363B"/>
    <w:rsid w:val="5BDD2E30"/>
    <w:rsid w:val="5CAC050B"/>
    <w:rsid w:val="5CEA2B32"/>
    <w:rsid w:val="5CEB1C1B"/>
    <w:rsid w:val="5E571D97"/>
    <w:rsid w:val="61462FE8"/>
    <w:rsid w:val="63494112"/>
    <w:rsid w:val="636D049E"/>
    <w:rsid w:val="63B52874"/>
    <w:rsid w:val="6452374C"/>
    <w:rsid w:val="646925CA"/>
    <w:rsid w:val="648C29A4"/>
    <w:rsid w:val="64EF7E6F"/>
    <w:rsid w:val="650670C3"/>
    <w:rsid w:val="65AF2ABF"/>
    <w:rsid w:val="65F247C2"/>
    <w:rsid w:val="66324A6C"/>
    <w:rsid w:val="66710802"/>
    <w:rsid w:val="6A7C6A81"/>
    <w:rsid w:val="6AC054D0"/>
    <w:rsid w:val="6B8378D9"/>
    <w:rsid w:val="6BAD1A39"/>
    <w:rsid w:val="6CF36D84"/>
    <w:rsid w:val="6D471679"/>
    <w:rsid w:val="6D807D35"/>
    <w:rsid w:val="6D964135"/>
    <w:rsid w:val="6E22414C"/>
    <w:rsid w:val="6EA83422"/>
    <w:rsid w:val="6ED669A8"/>
    <w:rsid w:val="6EF00824"/>
    <w:rsid w:val="6F55689E"/>
    <w:rsid w:val="6F8E484C"/>
    <w:rsid w:val="70A60E4A"/>
    <w:rsid w:val="70EE5698"/>
    <w:rsid w:val="70FD48B1"/>
    <w:rsid w:val="71940BA6"/>
    <w:rsid w:val="71C742E7"/>
    <w:rsid w:val="734D2C89"/>
    <w:rsid w:val="7487696F"/>
    <w:rsid w:val="748B1C3D"/>
    <w:rsid w:val="7526656B"/>
    <w:rsid w:val="764821DD"/>
    <w:rsid w:val="768B6872"/>
    <w:rsid w:val="76D14D2A"/>
    <w:rsid w:val="783E647F"/>
    <w:rsid w:val="79264E46"/>
    <w:rsid w:val="7A362597"/>
    <w:rsid w:val="7A917E98"/>
    <w:rsid w:val="7AC61F1A"/>
    <w:rsid w:val="7B4E0E19"/>
    <w:rsid w:val="7B543BC4"/>
    <w:rsid w:val="7BD04FA4"/>
    <w:rsid w:val="7BE64AFE"/>
    <w:rsid w:val="7CD16B4A"/>
    <w:rsid w:val="7CD4791A"/>
    <w:rsid w:val="7D24387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22"/>
    <w:rPr>
      <w:b/>
      <w:bCs/>
    </w:rPr>
  </w:style>
  <w:style w:type="character" w:styleId="10">
    <w:name w:val="page number"/>
    <w:qFormat/>
    <w:uiPriority w:val="0"/>
  </w:style>
  <w:style w:type="character" w:styleId="11">
    <w:name w:val="Hyperlink"/>
    <w:qFormat/>
    <w:uiPriority w:val="0"/>
    <w:rPr>
      <w:color w:val="0000FF"/>
      <w:u w:val="single"/>
    </w:rPr>
  </w:style>
  <w:style w:type="character" w:customStyle="1" w:styleId="12">
    <w:name w:val="页脚 字符"/>
    <w:link w:val="3"/>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5142</Words>
  <Characters>5388</Characters>
  <Lines>42</Lines>
  <Paragraphs>11</Paragraphs>
  <TotalTime>8</TotalTime>
  <ScaleCrop>false</ScaleCrop>
  <LinksUpToDate>false</LinksUpToDate>
  <CharactersWithSpaces>5487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2013-05-27T01:41:00Z</dcterms:created>
  <dc:creator>微软用户</dc:creator>
  <cp:lastModifiedBy>小橙子</cp:lastModifiedBy>
  <cp:lastPrinted>2026-03-09T04:00:00Z</cp:lastPrinted>
  <dcterms:modified xsi:type="dcterms:W3CDTF">2026-10-28T11:28:33Z</dcterms:modified>
  <dc:title>桂幼师报〔2013〕  号　　　　　　    签发人：吴国友</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955F79DC8D194A12A6B3AE0DD781525C_13</vt:lpwstr>
  </property>
  <property fmtid="{D5CDD505-2E9C-101B-9397-08002B2CF9AE}" pid="4" name="KSOTemplateDocerSaveRecord">
    <vt:lpwstr>eyJoZGlkIjoiOTM5ZTM0ODllOGRkMWI2MjViMzZhZDQ0MDcwYzUxNjkiLCJ1c2VySWQiOiI0Nzc4MTQ3NzMifQ==</vt:lpwstr>
  </property>
</Properties>
</file>