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0312E">
      <w:pPr>
        <w:widowControl/>
        <w:spacing w:line="360" w:lineRule="atLeast"/>
        <w:rPr>
          <w:rFonts w:hint="eastAsia" w:ascii="黑体" w:hAnsi="黑体" w:eastAsia="黑体" w:cs="黑体"/>
          <w:kern w:val="0"/>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rPr>
        <w:t>2</w:t>
      </w:r>
    </w:p>
    <w:p w14:paraId="3F051AAB">
      <w:pPr>
        <w:widowControl/>
        <w:spacing w:line="560" w:lineRule="exact"/>
        <w:jc w:val="center"/>
        <w:rPr>
          <w:rFonts w:hint="eastAsia" w:ascii="方正小标宋简体" w:hAnsi="微软雅黑" w:eastAsia="方正小标宋简体" w:cs="宋体"/>
          <w:kern w:val="0"/>
          <w:sz w:val="40"/>
          <w:szCs w:val="18"/>
        </w:rPr>
      </w:pPr>
      <w:r>
        <w:rPr>
          <w:rFonts w:hint="eastAsia" w:ascii="方正小标宋简体" w:hAnsi="微软雅黑" w:eastAsia="方正小标宋简体" w:cs="宋体"/>
          <w:kern w:val="0"/>
          <w:sz w:val="40"/>
          <w:szCs w:val="18"/>
        </w:rPr>
        <w:t>泰顺县事业单位公开招聘工作人员专业资格</w:t>
      </w:r>
    </w:p>
    <w:p w14:paraId="31C9DC7D">
      <w:pPr>
        <w:widowControl/>
        <w:spacing w:line="560" w:lineRule="exact"/>
        <w:jc w:val="center"/>
        <w:rPr>
          <w:rFonts w:ascii="方正小标宋简体" w:hAnsi="微软雅黑" w:eastAsia="方正小标宋简体" w:cs="宋体"/>
          <w:kern w:val="0"/>
          <w:sz w:val="40"/>
          <w:szCs w:val="18"/>
        </w:rPr>
      </w:pPr>
      <w:r>
        <w:rPr>
          <w:rFonts w:hint="eastAsia" w:ascii="方正小标宋简体" w:hAnsi="微软雅黑" w:eastAsia="方正小标宋简体" w:cs="宋体"/>
          <w:kern w:val="0"/>
          <w:sz w:val="40"/>
          <w:szCs w:val="18"/>
        </w:rPr>
        <w:t>审查办法</w:t>
      </w:r>
    </w:p>
    <w:p w14:paraId="14589092">
      <w:pPr>
        <w:widowControl/>
        <w:spacing w:line="560" w:lineRule="exact"/>
        <w:ind w:firstLine="560" w:firstLineChars="200"/>
        <w:jc w:val="left"/>
        <w:rPr>
          <w:rFonts w:ascii="仿宋_GB2312" w:hAnsi="微软雅黑" w:eastAsia="仿宋_GB2312" w:cs="宋体"/>
          <w:kern w:val="0"/>
          <w:sz w:val="28"/>
          <w:szCs w:val="28"/>
        </w:rPr>
      </w:pPr>
      <w:bookmarkStart w:id="0" w:name="_GoBack"/>
      <w:bookmarkEnd w:id="0"/>
    </w:p>
    <w:p w14:paraId="298E6913">
      <w:pPr>
        <w:widowControl/>
        <w:spacing w:line="56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泰顺县事业单位公开招聘工作人员报考人员专业资格按以下办法进行审查：</w:t>
      </w:r>
    </w:p>
    <w:p w14:paraId="354B400E">
      <w:pPr>
        <w:widowControl/>
        <w:spacing w:line="56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一、资格审核办法分县级事业岗位和乡镇事业岗位两种资格审核办法。报考县级事业岗位人员的专业，由招聘单位及其主管部门参考高校专业设置目录进行审查认定</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本科专业参考《教育部关于印发〈普通高等学校本科专业目录（2012年）〉〈普通高等学校本科专业设置管理规定〉等文件的通知》（教高〔2012〕9号</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highlight w:val="none"/>
          <w:shd w:val="clear" w:color="auto" w:fill="auto"/>
        </w:rPr>
        <w:t>《教育部关于公布</w:t>
      </w:r>
      <w:r>
        <w:rPr>
          <w:rFonts w:hint="eastAsia" w:ascii="Times New Roman" w:hAnsi="Times New Roman" w:eastAsia="仿宋_GB2312" w:cs="Times New Roman"/>
          <w:kern w:val="0"/>
          <w:sz w:val="28"/>
          <w:szCs w:val="28"/>
          <w:highlight w:val="none"/>
          <w:shd w:val="clear" w:color="auto" w:fill="auto"/>
          <w:lang w:val="en-US" w:eastAsia="zh-CN"/>
        </w:rPr>
        <w:t>&lt;</w:t>
      </w:r>
      <w:r>
        <w:rPr>
          <w:rFonts w:hint="default" w:ascii="Times New Roman" w:hAnsi="Times New Roman" w:eastAsia="仿宋_GB2312" w:cs="Times New Roman"/>
          <w:kern w:val="0"/>
          <w:sz w:val="28"/>
          <w:szCs w:val="28"/>
          <w:highlight w:val="none"/>
          <w:shd w:val="clear" w:color="auto" w:fill="auto"/>
        </w:rPr>
        <w:t>普通高等学校本科专业目录</w:t>
      </w:r>
      <w:r>
        <w:rPr>
          <w:rFonts w:hint="eastAsia" w:ascii="Times New Roman" w:hAnsi="Times New Roman" w:eastAsia="仿宋_GB2312" w:cs="Times New Roman"/>
          <w:kern w:val="0"/>
          <w:sz w:val="28"/>
          <w:szCs w:val="28"/>
          <w:highlight w:val="none"/>
          <w:shd w:val="clear" w:color="auto" w:fill="auto"/>
          <w:lang w:eastAsia="zh-CN"/>
        </w:rPr>
        <w:t>（</w:t>
      </w:r>
      <w:r>
        <w:rPr>
          <w:rFonts w:hint="default" w:ascii="Times New Roman" w:hAnsi="Times New Roman" w:eastAsia="仿宋_GB2312" w:cs="Times New Roman"/>
          <w:kern w:val="0"/>
          <w:sz w:val="28"/>
          <w:szCs w:val="28"/>
          <w:highlight w:val="none"/>
          <w:shd w:val="clear" w:color="auto" w:fill="auto"/>
        </w:rPr>
        <w:t>2026年</w:t>
      </w:r>
      <w:r>
        <w:rPr>
          <w:rFonts w:hint="eastAsia" w:ascii="Times New Roman" w:hAnsi="Times New Roman" w:eastAsia="仿宋_GB2312" w:cs="Times New Roman"/>
          <w:kern w:val="0"/>
          <w:sz w:val="28"/>
          <w:szCs w:val="28"/>
          <w:highlight w:val="none"/>
          <w:shd w:val="clear" w:color="auto" w:fill="auto"/>
          <w:lang w:eastAsia="zh-CN"/>
        </w:rPr>
        <w:t>）</w:t>
      </w:r>
      <w:r>
        <w:rPr>
          <w:rFonts w:hint="eastAsia" w:ascii="Times New Roman" w:hAnsi="Times New Roman" w:eastAsia="仿宋_GB2312" w:cs="Times New Roman"/>
          <w:kern w:val="0"/>
          <w:sz w:val="28"/>
          <w:szCs w:val="28"/>
          <w:highlight w:val="none"/>
          <w:shd w:val="clear" w:color="auto" w:fill="auto"/>
          <w:lang w:val="en-US" w:eastAsia="zh-CN"/>
        </w:rPr>
        <w:t>&gt;</w:t>
      </w:r>
      <w:r>
        <w:rPr>
          <w:rFonts w:hint="default" w:ascii="Times New Roman" w:hAnsi="Times New Roman" w:eastAsia="仿宋_GB2312" w:cs="Times New Roman"/>
          <w:kern w:val="0"/>
          <w:sz w:val="28"/>
          <w:szCs w:val="28"/>
          <w:highlight w:val="none"/>
          <w:shd w:val="clear" w:color="auto" w:fill="auto"/>
        </w:rPr>
        <w:t>的通知》（教高函〔202</w:t>
      </w:r>
      <w:r>
        <w:rPr>
          <w:rFonts w:hint="eastAsia" w:ascii="Times New Roman" w:hAnsi="Times New Roman" w:eastAsia="仿宋_GB2312" w:cs="Times New Roman"/>
          <w:kern w:val="0"/>
          <w:sz w:val="28"/>
          <w:szCs w:val="28"/>
          <w:highlight w:val="none"/>
          <w:shd w:val="clear" w:color="auto" w:fill="auto"/>
          <w:lang w:val="en-US" w:eastAsia="zh-CN"/>
        </w:rPr>
        <w:t>6</w:t>
      </w:r>
      <w:r>
        <w:rPr>
          <w:rFonts w:hint="default" w:ascii="Times New Roman" w:hAnsi="Times New Roman" w:eastAsia="仿宋_GB2312" w:cs="Times New Roman"/>
          <w:kern w:val="0"/>
          <w:sz w:val="28"/>
          <w:szCs w:val="28"/>
          <w:highlight w:val="none"/>
          <w:shd w:val="clear" w:color="auto" w:fill="auto"/>
        </w:rPr>
        <w:t>〕</w:t>
      </w:r>
      <w:r>
        <w:rPr>
          <w:rFonts w:hint="eastAsia" w:ascii="Times New Roman" w:hAnsi="Times New Roman" w:eastAsia="仿宋_GB2312" w:cs="Times New Roman"/>
          <w:kern w:val="0"/>
          <w:sz w:val="28"/>
          <w:szCs w:val="28"/>
          <w:highlight w:val="none"/>
          <w:shd w:val="clear" w:color="auto" w:fill="auto"/>
          <w:lang w:val="en-US" w:eastAsia="zh-CN"/>
        </w:rPr>
        <w:t>2</w:t>
      </w:r>
      <w:r>
        <w:rPr>
          <w:rFonts w:hint="default" w:ascii="Times New Roman" w:hAnsi="Times New Roman" w:eastAsia="仿宋_GB2312" w:cs="Times New Roman"/>
          <w:kern w:val="0"/>
          <w:sz w:val="28"/>
          <w:szCs w:val="28"/>
          <w:highlight w:val="none"/>
          <w:shd w:val="clear" w:color="auto" w:fill="auto"/>
        </w:rPr>
        <w:t>号）</w:t>
      </w:r>
      <w:r>
        <w:rPr>
          <w:rFonts w:hint="default" w:ascii="Times New Roman" w:hAnsi="Times New Roman" w:eastAsia="仿宋_GB2312" w:cs="Times New Roman"/>
          <w:kern w:val="0"/>
          <w:sz w:val="28"/>
          <w:szCs w:val="28"/>
        </w:rPr>
        <w:t>；研究生专业参考《授予博士、硕士学位和培养研究生的学科、专业目录》（2008更新版）、《国务院学位委员会教育部关于印发&lt;研究生教育学科专业目录（2022年）&gt;&lt;研究生教育学科专业目录管理办法&gt;的通知》（学位〔2022〕15号）</w:t>
      </w:r>
      <w:r>
        <w:rPr>
          <w:rFonts w:hint="default" w:ascii="Times New Roman" w:hAnsi="Times New Roman" w:eastAsia="仿宋_GB2312" w:cs="Times New Roman"/>
          <w:color w:val="auto"/>
          <w:kern w:val="0"/>
          <w:sz w:val="28"/>
          <w:szCs w:val="24"/>
          <w:u w:val="none"/>
        </w:rPr>
        <w:t>进行审查</w:t>
      </w:r>
      <w:r>
        <w:rPr>
          <w:rFonts w:hint="default" w:ascii="Times New Roman" w:hAnsi="Times New Roman" w:eastAsia="仿宋_GB2312" w:cs="Times New Roman"/>
          <w:color w:val="auto"/>
          <w:kern w:val="0"/>
          <w:sz w:val="28"/>
          <w:szCs w:val="28"/>
          <w:lang w:val="en-US" w:eastAsia="zh-CN"/>
        </w:rPr>
        <w:t>。审</w:t>
      </w:r>
      <w:r>
        <w:rPr>
          <w:rFonts w:hint="default" w:ascii="Times New Roman" w:hAnsi="Times New Roman" w:eastAsia="仿宋_GB2312" w:cs="Times New Roman"/>
          <w:kern w:val="0"/>
          <w:sz w:val="28"/>
          <w:szCs w:val="28"/>
          <w:lang w:val="en-US" w:eastAsia="zh-CN"/>
        </w:rPr>
        <w:t>核</w:t>
      </w:r>
      <w:r>
        <w:rPr>
          <w:rFonts w:hint="default" w:ascii="Times New Roman" w:hAnsi="Times New Roman" w:eastAsia="仿宋_GB2312" w:cs="Times New Roman"/>
          <w:kern w:val="0"/>
          <w:sz w:val="28"/>
          <w:szCs w:val="28"/>
        </w:rPr>
        <w:t>报考乡镇事业岗位人员的专业，由招聘乡镇参照</w:t>
      </w:r>
      <w:r>
        <w:rPr>
          <w:rFonts w:hint="default" w:ascii="Times New Roman" w:hAnsi="Times New Roman" w:eastAsia="仿宋_GB2312" w:cs="Times New Roman"/>
          <w:kern w:val="0"/>
          <w:sz w:val="28"/>
          <w:szCs w:val="28"/>
          <w:lang w:eastAsia="zh-CN"/>
        </w:rPr>
        <w:t>202</w:t>
      </w:r>
      <w:r>
        <w:rPr>
          <w:rFonts w:hint="default" w:ascii="Times New Roman" w:hAnsi="Times New Roman" w:eastAsia="仿宋_GB2312" w:cs="Times New Roman"/>
          <w:kern w:val="0"/>
          <w:sz w:val="28"/>
          <w:szCs w:val="28"/>
          <w:lang w:eastAsia="zh-CN"/>
          <w:woUserID w:val="1"/>
        </w:rPr>
        <w:t>6</w:t>
      </w:r>
      <w:r>
        <w:rPr>
          <w:rFonts w:hint="default" w:ascii="Times New Roman" w:hAnsi="Times New Roman" w:eastAsia="仿宋_GB2312" w:cs="Times New Roman"/>
          <w:kern w:val="0"/>
          <w:sz w:val="28"/>
          <w:szCs w:val="28"/>
          <w:lang w:eastAsia="zh-CN"/>
        </w:rPr>
        <w:t>年</w:t>
      </w:r>
      <w:r>
        <w:rPr>
          <w:rFonts w:hint="default" w:ascii="Times New Roman" w:hAnsi="Times New Roman" w:eastAsia="仿宋_GB2312" w:cs="Times New Roman"/>
          <w:kern w:val="0"/>
          <w:sz w:val="28"/>
          <w:szCs w:val="28"/>
        </w:rPr>
        <w:t>泰顺县事业单位公开招聘工作人员乡镇</w:t>
      </w:r>
      <w:r>
        <w:rPr>
          <w:rFonts w:hint="eastAsia" w:ascii="Times New Roman" w:hAnsi="Times New Roman" w:eastAsia="仿宋_GB2312" w:cs="Times New Roman"/>
          <w:kern w:val="0"/>
          <w:sz w:val="28"/>
          <w:szCs w:val="28"/>
          <w:lang w:eastAsia="zh-CN"/>
        </w:rPr>
        <w:t>事业</w:t>
      </w:r>
      <w:r>
        <w:rPr>
          <w:rFonts w:hint="default" w:ascii="Times New Roman" w:hAnsi="Times New Roman" w:eastAsia="仿宋_GB2312" w:cs="Times New Roman"/>
          <w:kern w:val="0"/>
          <w:sz w:val="28"/>
          <w:szCs w:val="28"/>
        </w:rPr>
        <w:t>岗位专业资格审查办法进行审查认定。各招聘岗位按照</w:t>
      </w:r>
      <w:r>
        <w:rPr>
          <w:rFonts w:hint="default" w:ascii="Times New Roman" w:hAnsi="Times New Roman" w:eastAsia="仿宋_GB2312" w:cs="Times New Roman"/>
          <w:kern w:val="0"/>
          <w:sz w:val="28"/>
          <w:szCs w:val="28"/>
          <w:lang w:eastAsia="zh-CN"/>
        </w:rPr>
        <w:t>202</w:t>
      </w:r>
      <w:r>
        <w:rPr>
          <w:rFonts w:hint="default" w:ascii="Times New Roman" w:hAnsi="Times New Roman" w:eastAsia="仿宋_GB2312" w:cs="Times New Roman"/>
          <w:kern w:val="0"/>
          <w:sz w:val="28"/>
          <w:szCs w:val="28"/>
          <w:lang w:eastAsia="zh-CN"/>
          <w:woUserID w:val="1"/>
        </w:rPr>
        <w:t>6</w:t>
      </w:r>
      <w:r>
        <w:rPr>
          <w:rFonts w:hint="default" w:ascii="Times New Roman" w:hAnsi="Times New Roman" w:eastAsia="仿宋_GB2312" w:cs="Times New Roman"/>
          <w:kern w:val="0"/>
          <w:sz w:val="28"/>
          <w:szCs w:val="28"/>
          <w:lang w:eastAsia="zh-CN"/>
        </w:rPr>
        <w:t>年</w:t>
      </w:r>
      <w:r>
        <w:rPr>
          <w:rFonts w:hint="default" w:ascii="Times New Roman" w:hAnsi="Times New Roman" w:eastAsia="仿宋_GB2312" w:cs="Times New Roman"/>
          <w:kern w:val="0"/>
          <w:sz w:val="28"/>
          <w:szCs w:val="28"/>
        </w:rPr>
        <w:t>泰顺县事业单位公开招聘工作人员计划一览表中的专业要求进行审查，报考人员必须符合招聘岗位规定的专业要求方可报考。</w:t>
      </w:r>
    </w:p>
    <w:p w14:paraId="7F97621A">
      <w:pPr>
        <w:widowControl/>
        <w:spacing w:line="560" w:lineRule="exact"/>
        <w:ind w:firstLine="560" w:firstLineChars="20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二、关于“专业要求”的说明：本科专业参照教育部《普通高等学校本科专业目录</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val="en-US" w:eastAsia="zh-CN"/>
        </w:rPr>
        <w:t>202</w:t>
      </w:r>
      <w:r>
        <w:rPr>
          <w:rFonts w:hint="eastAsia" w:ascii="Times New Roman" w:hAnsi="Times New Roman" w:eastAsia="仿宋_GB2312" w:cs="Times New Roman"/>
          <w:color w:val="auto"/>
          <w:kern w:val="0"/>
          <w:sz w:val="28"/>
          <w:szCs w:val="28"/>
          <w:highlight w:val="none"/>
          <w:lang w:val="en-US" w:eastAsia="zh-CN"/>
        </w:rPr>
        <w:t>6</w:t>
      </w:r>
      <w:r>
        <w:rPr>
          <w:rFonts w:hint="default" w:ascii="Times New Roman" w:hAnsi="Times New Roman" w:eastAsia="仿宋_GB2312" w:cs="Times New Roman"/>
          <w:color w:val="auto"/>
          <w:kern w:val="0"/>
          <w:sz w:val="28"/>
          <w:szCs w:val="28"/>
          <w:highlight w:val="none"/>
        </w:rPr>
        <w:t>年）》</w:t>
      </w:r>
      <w:r>
        <w:rPr>
          <w:rFonts w:hint="default" w:ascii="Times New Roman" w:hAnsi="Times New Roman" w:eastAsia="仿宋_GB2312" w:cs="Times New Roman"/>
          <w:color w:val="auto"/>
          <w:kern w:val="0"/>
          <w:sz w:val="28"/>
          <w:szCs w:val="28"/>
        </w:rPr>
        <w:t>的划分，按“学科门类”、“专业类”和“专业”三个层次分别表述，所涵盖的专业范围各不相同。按“学科门类”表述的，如“经济学门类”，表示该学科门类下设的所有专业均可报考；按“专业类”表述的，如“中国语言文学类”，表示该专业类下设的所有专业均可报考；按具体“专业名称”表述的，表示仅限所列专业报考。</w:t>
      </w:r>
    </w:p>
    <w:p w14:paraId="10C7B0E9">
      <w:pPr>
        <w:widowControl/>
        <w:spacing w:line="560" w:lineRule="exact"/>
        <w:ind w:firstLine="560" w:firstLineChars="20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三、招聘岗位要求的专业明确的,招聘单位按所明确的专业进行审查，招聘岗位要求的专业为学科门类的，按照上述专业目录中对应的学科门类专业进行审查。</w:t>
      </w:r>
    </w:p>
    <w:p w14:paraId="0A6BB6BA">
      <w:pPr>
        <w:widowControl/>
        <w:spacing w:line="560" w:lineRule="exact"/>
        <w:ind w:firstLine="560" w:firstLineChars="2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四、目录中未列入的专业或各高校新设专业，与岗位要求的专业相近相关的，由报考人员提供相应的学习课程等证明资料，招聘单位及其主管部门应本着“相近、相似”和“宜宽不宜窄，有利于人才选拔”的原则进行专业条件审核，可根据实际情况予以从宽认定。</w:t>
      </w:r>
    </w:p>
    <w:p w14:paraId="0B5AD0B7">
      <w:pPr>
        <w:widowControl/>
        <w:spacing w:line="560" w:lineRule="exact"/>
        <w:ind w:firstLine="560" w:firstLineChars="20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五、本办法未尽事宜，由泰顺县人力资源和社会保障局会同招聘单位及其主管部门研究确定。</w:t>
      </w:r>
    </w:p>
    <w:p w14:paraId="22181F1D">
      <w:pPr>
        <w:widowControl/>
        <w:spacing w:line="560" w:lineRule="exact"/>
        <w:jc w:val="left"/>
        <w:rPr>
          <w:rFonts w:hint="default" w:ascii="Times New Roman" w:hAnsi="Times New Roman" w:eastAsia="仿宋_GB2312" w:cs="Times New Roman"/>
          <w:color w:val="0000FF"/>
          <w:kern w:val="0"/>
          <w:sz w:val="28"/>
          <w:szCs w:val="28"/>
        </w:rPr>
      </w:pPr>
    </w:p>
    <w:p w14:paraId="2696F66F">
      <w:pPr>
        <w:rPr>
          <w:rFonts w:hint="default" w:ascii="Times New Roman" w:hAnsi="Times New Roman" w:cs="Times New Roman"/>
          <w:bCs/>
          <w:sz w:val="24"/>
          <w:highlight w:val="none"/>
        </w:rPr>
      </w:pPr>
      <w:r>
        <w:rPr>
          <w:rFonts w:hint="default" w:ascii="Times New Roman" w:hAnsi="Times New Roman" w:cs="Times New Roman"/>
          <w:bCs/>
          <w:sz w:val="24"/>
          <w:highlight w:val="none"/>
        </w:rPr>
        <w:br w:type="page"/>
      </w:r>
    </w:p>
    <w:p w14:paraId="673B5218">
      <w:pPr>
        <w:spacing w:line="460" w:lineRule="exact"/>
        <w:jc w:val="left"/>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t>附</w:t>
      </w:r>
      <w:r>
        <w:rPr>
          <w:rFonts w:hint="eastAsia" w:ascii="黑体" w:hAnsi="黑体" w:eastAsia="黑体" w:cs="黑体"/>
          <w:bCs/>
          <w:sz w:val="32"/>
          <w:szCs w:val="32"/>
          <w:highlight w:val="none"/>
          <w:lang w:eastAsia="zh-CN"/>
        </w:rPr>
        <w:t>：</w:t>
      </w:r>
    </w:p>
    <w:p w14:paraId="655F4D66">
      <w:pPr>
        <w:spacing w:line="460" w:lineRule="exact"/>
        <w:jc w:val="center"/>
        <w:rPr>
          <w:rFonts w:hint="eastAsia"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mc:AlternateContent>
          <mc:Choice Requires="wps">
            <w:drawing>
              <wp:anchor distT="0" distB="0" distL="114300" distR="114300" simplePos="0" relativeHeight="251659264" behindDoc="0" locked="0" layoutInCell="1" allowOverlap="1">
                <wp:simplePos x="0" y="0"/>
                <wp:positionH relativeFrom="column">
                  <wp:posOffset>1666875</wp:posOffset>
                </wp:positionH>
                <wp:positionV relativeFrom="paragraph">
                  <wp:posOffset>-330835</wp:posOffset>
                </wp:positionV>
                <wp:extent cx="45085" cy="45085"/>
                <wp:effectExtent l="0" t="0" r="12065" b="12065"/>
                <wp:wrapNone/>
                <wp:docPr id="1" name="文本框 1"/>
                <wp:cNvGraphicFramePr/>
                <a:graphic xmlns:a="http://schemas.openxmlformats.org/drawingml/2006/main">
                  <a:graphicData uri="http://schemas.microsoft.com/office/word/2010/wordprocessingShape">
                    <wps:wsp>
                      <wps:cNvSpPr txBox="1"/>
                      <wps:spPr>
                        <a:xfrm>
                          <a:off x="0" y="0"/>
                          <a:ext cx="45085" cy="45085"/>
                        </a:xfrm>
                        <a:prstGeom prst="rect">
                          <a:avLst/>
                        </a:prstGeom>
                        <a:solidFill>
                          <a:srgbClr val="FFFFFF"/>
                        </a:solidFill>
                        <a:ln>
                          <a:noFill/>
                        </a:ln>
                      </wps:spPr>
                      <wps:txbx>
                        <w:txbxContent>
                          <w:p w14:paraId="22196EC6">
                            <w:pPr>
                              <w:rPr>
                                <w:rFonts w:hint="eastAsia"/>
                                <w:szCs w:val="28"/>
                              </w:rPr>
                            </w:pPr>
                          </w:p>
                        </w:txbxContent>
                      </wps:txbx>
                      <wps:bodyPr upright="1"/>
                    </wps:wsp>
                  </a:graphicData>
                </a:graphic>
              </wp:anchor>
            </w:drawing>
          </mc:Choice>
          <mc:Fallback>
            <w:pict>
              <v:shape id="_x0000_s1026" o:spid="_x0000_s1026" o:spt="202" type="#_x0000_t202" style="position:absolute;left:0pt;margin-left:131.25pt;margin-top:-26.05pt;height:3.55pt;width:3.55pt;z-index:251659264;mso-width-relative:page;mso-height-relative:page;" fillcolor="#FFFFFF" filled="t" stroked="f" coordsize="21600,21600" o:gfxdata="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CyW9LZAAAACwEAAA8AAAAAAAAAAQAgAAAAIgAAAGRycy9kb3ducmV2LnhtbFBL&#10;AQIUABQAAAAIAIdO4kC6I/k/vAEAAHQDAAAOAAAAAAAAAAEAIAAAACgBAABkcnMvZTJvRG9jLnht&#10;bFBLBQYAAAAABgAGAFkBAABWBQAAAAA=&#10;">
                <v:fill on="t" focussize="0,0"/>
                <v:stroke on="f"/>
                <v:imagedata o:title=""/>
                <o:lock v:ext="edit" aspectratio="f"/>
                <v:textbox>
                  <w:txbxContent>
                    <w:p w14:paraId="22196EC6">
                      <w:pPr>
                        <w:rPr>
                          <w:rFonts w:hint="eastAsia"/>
                          <w:szCs w:val="28"/>
                        </w:rPr>
                      </w:pPr>
                    </w:p>
                  </w:txbxContent>
                </v:textbox>
              </v:shape>
            </w:pict>
          </mc:Fallback>
        </mc:AlternateContent>
      </w:r>
      <w:r>
        <w:rPr>
          <w:rFonts w:hint="eastAsia" w:ascii="方正小标宋简体" w:hAnsi="方正小标宋简体" w:eastAsia="方正小标宋简体" w:cs="方正小标宋简体"/>
          <w:bCs/>
          <w:sz w:val="40"/>
          <w:szCs w:val="40"/>
          <w:highlight w:val="none"/>
        </w:rPr>
        <w:t>202</w:t>
      </w:r>
      <w:r>
        <w:rPr>
          <w:rFonts w:hint="eastAsia" w:ascii="方正小标宋简体" w:hAnsi="方正小标宋简体" w:eastAsia="方正小标宋简体" w:cs="方正小标宋简体"/>
          <w:bCs/>
          <w:sz w:val="40"/>
          <w:szCs w:val="40"/>
          <w:highlight w:val="none"/>
          <w:lang w:val="en-US" w:eastAsia="zh-CN"/>
        </w:rPr>
        <w:t>6</w:t>
      </w:r>
      <w:r>
        <w:rPr>
          <w:rFonts w:hint="eastAsia" w:ascii="方正小标宋简体" w:hAnsi="方正小标宋简体" w:eastAsia="方正小标宋简体" w:cs="方正小标宋简体"/>
          <w:bCs/>
          <w:sz w:val="40"/>
          <w:szCs w:val="40"/>
          <w:highlight w:val="none"/>
        </w:rPr>
        <w:t>年泰顺县事业单位公开招聘工作人员</w:t>
      </w:r>
    </w:p>
    <w:p w14:paraId="6E97664E">
      <w:pPr>
        <w:spacing w:line="460" w:lineRule="exact"/>
        <w:jc w:val="center"/>
        <w:rPr>
          <w:rFonts w:hint="default" w:ascii="Times New Roman" w:hAnsi="Times New Roman" w:eastAsia="方正小标宋简体" w:cs="Times New Roman"/>
          <w:bCs/>
          <w:sz w:val="40"/>
          <w:szCs w:val="40"/>
          <w:highlight w:val="none"/>
        </w:rPr>
      </w:pPr>
      <w:r>
        <w:rPr>
          <w:rFonts w:hint="default" w:ascii="Times New Roman" w:hAnsi="Times New Roman" w:eastAsia="方正小标宋简体" w:cs="Times New Roman"/>
          <w:bCs/>
          <w:sz w:val="40"/>
          <w:szCs w:val="40"/>
          <w:highlight w:val="none"/>
        </w:rPr>
        <w:t>乡镇事业岗位专业资格审查办法</w:t>
      </w:r>
    </w:p>
    <w:p w14:paraId="67865D3B">
      <w:pPr>
        <w:spacing w:line="460" w:lineRule="exact"/>
        <w:jc w:val="center"/>
        <w:rPr>
          <w:rFonts w:hint="default" w:ascii="Times New Roman" w:hAnsi="Times New Roman" w:cs="Times New Roman"/>
          <w:bCs/>
          <w:sz w:val="36"/>
          <w:highlight w:val="none"/>
        </w:rPr>
      </w:pPr>
    </w:p>
    <w:p w14:paraId="669E59DD">
      <w:pPr>
        <w:spacing w:line="440" w:lineRule="exact"/>
        <w:ind w:firstLine="560" w:firstLineChars="200"/>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泰顺县事业单位公开招聘工作人员乡镇事业岗位专业资格审查办法已经各业务主管部门审核、修改，总体原则是，对专业技术性强的岗位，按照报考人员所学专业与岗位要求的专业对口一致来审定，本办法中未列入但与各大员招考要求的专业相近相关的，经研究核准后可允许报考。现将乡镇事业招聘岗位的专业要求公布如下：</w:t>
      </w:r>
    </w:p>
    <w:p w14:paraId="16DD0156">
      <w:pPr>
        <w:spacing w:line="440" w:lineRule="exact"/>
        <w:ind w:firstLine="562" w:firstLineChars="200"/>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一、“财政员”招考要求专业</w:t>
      </w:r>
    </w:p>
    <w:p w14:paraId="3D830C29">
      <w:pPr>
        <w:widowControl/>
        <w:adjustRightInd w:val="0"/>
        <w:snapToGrid w:val="0"/>
        <w:spacing w:line="44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财政学、金融学、税务、审计学、投资学、经济学、会计学、财务管理、理财学、会计电算化、财务与精算学、财务会计教育、财务会计与教育、国际会计、会计与统计核算、工业会计、企业会计、财务信息管理、国际财务与金融、投资理财、财会教育、国际金融、国际经济与贸易、投资经济、国际贸易、企业财务管理、财政税务、区域经济学、国际经济与金融、中国联合国际经济与贸易、金融财务管理、数量经济学、产业经济学、全民经济学、财务会计、财会、世界经济、金融、会计、财政税收、管理会计、税务学、投资与理财、经济管理、报关与国际货运、国际商务、国际贸易实务、国际经济与管理、司法会计、信用管理、中英合作商务管理、金融管理与实务、会计与审计、商务管理、国际贸易与实务、经济信息管理、金融管理</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商务与金融管理。</w:t>
      </w:r>
    </w:p>
    <w:p w14:paraId="0BADD648">
      <w:pPr>
        <w:spacing w:line="440" w:lineRule="exact"/>
        <w:ind w:firstLine="562" w:firstLineChars="200"/>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二、“文旅管理员”招考要求专业</w:t>
      </w:r>
    </w:p>
    <w:p w14:paraId="37F28169">
      <w:pPr>
        <w:spacing w:line="44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表演艺术、传媒策划与管理、动漫设计与制作、动漫设计制作、多媒体设计与制作、工艺美术、广告学、广告艺术设计、广告与广告管理、会展策划与管理、美术教育、美术学、文化艺术教育、新闻采编与制作、新闻学、艺术教育、艺术设计、音乐表演、音乐教育、音乐学、影视动画、乐器制作技术、动画设计、广告设计与制作、主持与播音专业、广告造型设计、影视广告、戏剧影视美术设计、表演、视觉传达艺术设计、文物鉴定与修复、学前教育、学前教育与管理、影视表演、动画、舞蹈表演、展示设计、摄影摄像技术、服装设计、视觉传达设计、数字媒体艺术、森林生态旅游、旅游管理、导游、旅行社经营管理、景区开发与管理、酒店管理、休闲服务与管理、旅游管理与服务教育、服装设计与工程、幼儿艺术教育、摄影、数字媒体艺术设计、电脑艺术设计、歌舞表演、文化艺术、装饰艺术设计</w:t>
      </w:r>
      <w:r>
        <w:rPr>
          <w:rFonts w:hint="default" w:ascii="Times New Roman" w:hAnsi="Times New Roman" w:eastAsia="仿宋_GB2312" w:cs="Times New Roman"/>
          <w:sz w:val="28"/>
          <w:szCs w:val="28"/>
          <w:highlight w:val="none"/>
          <w:lang w:eastAsia="zh-CN"/>
        </w:rPr>
        <w:t>、历史学、世界史、考古学、文物与博物馆学、考古学及博物馆学、史学理论及史学史、历史地理学、历史文献</w:t>
      </w:r>
      <w:r>
        <w:rPr>
          <w:rFonts w:hint="default" w:ascii="Times New Roman" w:hAnsi="Times New Roman" w:eastAsia="仿宋_GB2312" w:cs="Times New Roman"/>
          <w:color w:val="auto"/>
          <w:sz w:val="28"/>
          <w:szCs w:val="28"/>
          <w:highlight w:val="none"/>
          <w:lang w:eastAsia="zh-CN"/>
        </w:rPr>
        <w:t>学、</w:t>
      </w:r>
      <w:r>
        <w:rPr>
          <w:rFonts w:hint="default" w:ascii="Times New Roman" w:hAnsi="Times New Roman" w:eastAsia="仿宋_GB2312" w:cs="Times New Roman"/>
          <w:color w:val="auto"/>
          <w:sz w:val="28"/>
          <w:szCs w:val="28"/>
          <w:highlight w:val="none"/>
          <w:lang w:val="en-US" w:eastAsia="zh-CN"/>
        </w:rPr>
        <w:t>产品设计、产品艺术设计、计算机平面设计、服装与服饰设计、影视多媒体技术、戏剧与影视学、会展经济与管理、舞蹈学、旅游英语、英语、文化产业管理、艺术管理、传播学</w:t>
      </w:r>
      <w:r>
        <w:rPr>
          <w:rFonts w:hint="default" w:ascii="Times New Roman" w:hAnsi="Times New Roman" w:eastAsia="仿宋_GB2312" w:cs="Times New Roman"/>
          <w:sz w:val="28"/>
          <w:szCs w:val="28"/>
          <w:highlight w:val="none"/>
        </w:rPr>
        <w:t>。</w:t>
      </w:r>
    </w:p>
    <w:p w14:paraId="38BEE7B4">
      <w:pPr>
        <w:widowControl/>
        <w:adjustRightInd w:val="0"/>
        <w:snapToGrid w:val="0"/>
        <w:spacing w:line="440" w:lineRule="exact"/>
        <w:ind w:firstLine="562" w:firstLineChars="200"/>
        <w:rPr>
          <w:rFonts w:hint="default" w:ascii="Times New Roman" w:hAnsi="Times New Roman" w:eastAsia="仿宋_GB2312" w:cs="Times New Roman"/>
          <w:b/>
          <w:kern w:val="0"/>
          <w:sz w:val="28"/>
          <w:szCs w:val="28"/>
          <w:highlight w:val="none"/>
        </w:rPr>
      </w:pPr>
      <w:r>
        <w:rPr>
          <w:rFonts w:hint="default" w:ascii="Times New Roman" w:hAnsi="Times New Roman" w:eastAsia="仿宋_GB2312" w:cs="Times New Roman"/>
          <w:b/>
          <w:kern w:val="0"/>
          <w:sz w:val="28"/>
          <w:szCs w:val="28"/>
          <w:highlight w:val="none"/>
        </w:rPr>
        <w:t>三、“林业员”招考</w:t>
      </w:r>
      <w:r>
        <w:rPr>
          <w:rFonts w:hint="default" w:ascii="Times New Roman" w:hAnsi="Times New Roman" w:eastAsia="仿宋_GB2312" w:cs="Times New Roman"/>
          <w:b/>
          <w:sz w:val="28"/>
          <w:szCs w:val="28"/>
          <w:highlight w:val="none"/>
        </w:rPr>
        <w:t>要求</w:t>
      </w:r>
      <w:r>
        <w:rPr>
          <w:rFonts w:hint="default" w:ascii="Times New Roman" w:hAnsi="Times New Roman" w:eastAsia="仿宋_GB2312" w:cs="Times New Roman"/>
          <w:b/>
          <w:kern w:val="0"/>
          <w:sz w:val="28"/>
          <w:szCs w:val="28"/>
          <w:highlight w:val="none"/>
        </w:rPr>
        <w:t>专业</w:t>
      </w:r>
    </w:p>
    <w:p w14:paraId="74E6FF1C">
      <w:pPr>
        <w:spacing w:line="440" w:lineRule="exact"/>
        <w:ind w:firstLine="534" w:firstLineChars="191"/>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林学、林业、林业技术、森检、森林工程、野生动物与自然保护区管理、园林、园林工程技术、园林技术、植物保护、林业信息工程与管理、森林消防、土地资源管理、遥感科学与技术、森林经理学、林业资源与林政管理、城市园林、林业工程、测绘工程、测绘科学与技术、植物学、生态学、植物科学与技术、森林资源保护。</w:t>
      </w:r>
    </w:p>
    <w:p w14:paraId="69E32AA5">
      <w:pPr>
        <w:spacing w:line="440" w:lineRule="exact"/>
        <w:ind w:firstLine="562" w:firstLineChars="200"/>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四、“水利员”招考要求专业</w:t>
      </w:r>
    </w:p>
    <w:p w14:paraId="3DB03374">
      <w:pPr>
        <w:spacing w:line="44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灌溉与排水技术、农田水利、农业水利工程、水利工程、水利工程监理、水利工程施工技术、水利水电工程、水利水电工程管理、水利水电建筑工程、水利学、水文与水资源工程、水文与水资源利用、水政水资源管理、水信息技术、城市水利、水文与水资源、水利与环境工程等、水务管理、农业水利技术、水利工程造价管理、水土保持、水文学及水资源、水力学及河流动力学、水工结构工程</w:t>
      </w:r>
      <w:r>
        <w:rPr>
          <w:rFonts w:hint="default" w:ascii="Times New Roman" w:hAnsi="Times New Roman" w:eastAsia="仿宋_GB2312" w:cs="Times New Roman"/>
          <w:sz w:val="28"/>
          <w:szCs w:val="28"/>
          <w:highlight w:val="none"/>
          <w:lang w:eastAsia="zh-CN"/>
        </w:rPr>
        <w:t>、水土保持和水环境类、水环境监测与分析、水文自动化测报技术、河务工程与管理、港口航道与治河工程、</w:t>
      </w:r>
      <w:r>
        <w:rPr>
          <w:rFonts w:hint="default" w:ascii="Times New Roman" w:hAnsi="Times New Roman" w:eastAsia="仿宋_GB2312" w:cs="Times New Roman"/>
          <w:sz w:val="28"/>
          <w:szCs w:val="28"/>
          <w:highlight w:val="none"/>
          <w:lang w:val="en-US" w:eastAsia="zh-CN"/>
        </w:rPr>
        <w:t>工程造价、给排水科学与工程</w:t>
      </w:r>
      <w:r>
        <w:rPr>
          <w:rFonts w:hint="default" w:ascii="Times New Roman" w:hAnsi="Times New Roman" w:eastAsia="仿宋_GB2312" w:cs="Times New Roman"/>
          <w:sz w:val="28"/>
          <w:szCs w:val="28"/>
          <w:highlight w:val="none"/>
        </w:rPr>
        <w:t>。</w:t>
      </w:r>
    </w:p>
    <w:p w14:paraId="678F14E5">
      <w:pPr>
        <w:spacing w:line="440" w:lineRule="exact"/>
        <w:ind w:firstLine="562" w:firstLineChars="200"/>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五、“城建规划员”招考要求专业</w:t>
      </w:r>
    </w:p>
    <w:p w14:paraId="4A3A77E7">
      <w:pPr>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z w:val="28"/>
          <w:szCs w:val="28"/>
          <w:highlight w:val="none"/>
        </w:rPr>
        <w:t>村镇建设、建筑工程、土木工程、规划、建筑学、路桥建筑、工民建、建筑设计、资源环境与城乡规划管理、城市规划、交通土建工程、桥梁工程、交通工程、岩土工程、结构工程、工程力学、城镇建设、房屋建筑工程、建设基础工程、道路与桥梁施工、城市建设工程管理、城市管理、市政工程设施与管理、市政工程技术、民用建筑与装饰、工程监理、工程管理、给水排水工程、城市规划与设计、城镇基础设施、城镇建设规划、城镇建设规划与设计、城镇建设设施与管理、城镇建设与管理、道路与桥梁、房屋工程建设、工程建筑管理、公路与城市道路工程、建筑、建筑工程管理、建筑工程技术、建筑环境与设备工程、建筑设计技术、建筑施工管理、建筑装饰工程技术、路桥、市政工程施工与管理、土木、土木工程施工技术与管理、土木工程施工与管理、景观建筑设计、工业与民用建筑、景观建筑、土木建筑、建筑工程设计、建筑装饰技术、测绘工程、建筑装饰、建筑装饰技术工程、道路与桥梁工程、城镇规划设计、城镇规划、交通建设与装备、道路与桥梁工程设计、道路桥梁工程技术、土木工程建造与管理、土木工程建设与管理、给排水科学与工程、工程监理、工程测量与监理、给水排水工程技术、建筑装饰设计、楼宇智能化工程技术、道路桥梁与工程技术、建筑节能技术与工程、资源环境与城乡规划管理、道路桥梁与渡河工程、工程造价、道路土木工程、给水排水技术工程、城镇设施建设与管理、高等级公路维护与管理、建筑经济管理、桥梁与隧道工程、道路桥梁、地籍测绘与土地管理、给排水工程技术、建筑给排水工程技术、建筑设备工程技术、建筑环境与能源应用工程、土木工程技术、中国古建筑工程技术、中美合作建筑设计、建筑施工与管理、工程测量与技术、城乡规划、资源环境与城市管理、环境设计、环境艺术设计、建筑工程技术、室内设计技术、建筑装饰设计与施工、人文地理与城乡规划、建筑智能化工程</w:t>
      </w:r>
      <w:r>
        <w:rPr>
          <w:rFonts w:hint="default" w:ascii="Times New Roman" w:hAnsi="Times New Roman" w:eastAsia="仿宋_GB2312" w:cs="Times New Roman"/>
          <w:color w:val="auto"/>
          <w:sz w:val="28"/>
          <w:szCs w:val="28"/>
          <w:highlight w:val="none"/>
        </w:rPr>
        <w:t>技术</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kern w:val="0"/>
          <w:sz w:val="28"/>
          <w:szCs w:val="28"/>
          <w:highlight w:val="none"/>
        </w:rPr>
        <w:t>装潢艺术设计、装饰艺术设计</w:t>
      </w:r>
      <w:r>
        <w:rPr>
          <w:rFonts w:hint="default" w:ascii="Times New Roman" w:hAnsi="Times New Roman" w:eastAsia="仿宋_GB2312" w:cs="Times New Roman"/>
          <w:color w:val="auto"/>
          <w:sz w:val="28"/>
          <w:szCs w:val="28"/>
          <w:highlight w:val="none"/>
        </w:rPr>
        <w:t>。</w:t>
      </w:r>
    </w:p>
    <w:p w14:paraId="6D0EFEBD">
      <w:pPr>
        <w:spacing w:line="440" w:lineRule="exact"/>
        <w:ind w:firstLine="562" w:firstLineChars="200"/>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六、“环保员”招考要求专业</w:t>
      </w:r>
    </w:p>
    <w:p w14:paraId="53CA2A2A">
      <w:pPr>
        <w:spacing w:line="440" w:lineRule="exact"/>
        <w:ind w:firstLine="534" w:firstLineChars="19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环境工程、环境规划、环境管理、环境生态、环境科学、环保工程、生命环境科学、资源环境科学、能源与环境系统工程、有机化学、化学、化学工艺、材料化学、分析化学、化学工程、化学工程与工艺、应用化学、高分子材料与工程、化学分析、应用化工技术、农业资源与环境、材料科学与工程、资源环境与城乡规划管理、精细化工、环境治理工程、生态学、生态保护、生物环境、复合材料科学与工程、环境工程与管理、环境监测与治理技术、环境科学与安全工程、环境保护与治理、环境监测与评价、环境科学与工程、资源环境与城市管理、环境监测与治理、环境检测与减排技术、材料物理、精细化工技术、精细化学品生产技术、环境监测与控制技术、环境工程技术。</w:t>
      </w:r>
    </w:p>
    <w:p w14:paraId="79D29BB5">
      <w:pPr>
        <w:spacing w:line="440" w:lineRule="exact"/>
        <w:ind w:firstLine="537" w:firstLineChars="191"/>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七、“茶特员”招考</w:t>
      </w:r>
      <w:r>
        <w:rPr>
          <w:rFonts w:hint="default" w:ascii="Times New Roman" w:hAnsi="Times New Roman" w:eastAsia="仿宋_GB2312" w:cs="Times New Roman"/>
          <w:b/>
          <w:sz w:val="28"/>
          <w:szCs w:val="28"/>
          <w:highlight w:val="none"/>
        </w:rPr>
        <w:t>要求</w:t>
      </w:r>
      <w:r>
        <w:rPr>
          <w:rFonts w:hint="default" w:ascii="Times New Roman" w:hAnsi="Times New Roman" w:eastAsia="仿宋_GB2312" w:cs="Times New Roman"/>
          <w:b/>
          <w:bCs/>
          <w:sz w:val="28"/>
          <w:szCs w:val="28"/>
          <w:highlight w:val="none"/>
        </w:rPr>
        <w:t>专业</w:t>
      </w:r>
    </w:p>
    <w:p w14:paraId="36FDC286">
      <w:pPr>
        <w:spacing w:line="440" w:lineRule="exact"/>
        <w:ind w:firstLine="534" w:firstLineChars="191"/>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kern w:val="0"/>
          <w:sz w:val="28"/>
          <w:szCs w:val="28"/>
          <w:highlight w:val="none"/>
        </w:rPr>
        <w:t>茶学、茶艺、茶叶加工和营销、茶叶生产加工技术、农学、园艺、植物保护、草业科学、作物栽培学与耕作学、热带作物、药用植物、土壤与农业化学、烟草、植物科学与技术、植物科学与技术、果树、种子科学与工程、蔬菜、应用生物科学、观赏园艺、设施农业科学与工程、种子、农业推广、土壤学、农业机械化及其自动化、畜禽饲养与疾病防治、茶叶加工和营销、生物科学、农艺木艺专业、现代园艺园林、园林与绿化工程、园艺技术、园林规划设计、林业、树木专业、植被养殖专业、植物病理学、园林工程技术、园林技术、园林、林业技术、设施农业、动物科学、林学、生物技术、作物遗传育种、农业资源与环境、农产品贮运与加工、农药学、农村区域发展、农林牧渔类农林管理类农村行政管理、设施农业技术、作物遗传育种、作物遗传育种、园艺学、农业科技组织与服务、生物技术及应用、生物技术及其应用、动物防疫与检疫、畜牧兽医、城市园林、园林设计、种子生产与经营、作物学、应用生物技术、农林牧渔类林业技术类园林技术、农林牧渔类农林管理类乡镇企业管理、农产品加工与品质管理</w:t>
      </w:r>
      <w:r>
        <w:rPr>
          <w:rFonts w:hint="default" w:ascii="Times New Roman" w:hAnsi="Times New Roman" w:eastAsia="仿宋_GB2312" w:cs="Times New Roman"/>
          <w:kern w:val="0"/>
          <w:sz w:val="28"/>
          <w:szCs w:val="28"/>
          <w:highlight w:val="none"/>
          <w:lang w:eastAsia="zh-CN"/>
        </w:rPr>
        <w:t>、</w:t>
      </w:r>
      <w:r>
        <w:rPr>
          <w:rFonts w:hint="default" w:ascii="Times New Roman" w:hAnsi="Times New Roman" w:eastAsia="仿宋_GB2312" w:cs="Times New Roman"/>
          <w:kern w:val="0"/>
          <w:sz w:val="28"/>
          <w:szCs w:val="28"/>
          <w:highlight w:val="none"/>
        </w:rPr>
        <w:t>茶文化、设施农业与装备。</w:t>
      </w:r>
    </w:p>
    <w:p w14:paraId="0B9D0305">
      <w:pPr>
        <w:spacing w:line="440" w:lineRule="exact"/>
        <w:ind w:firstLine="537" w:firstLineChars="191"/>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八、“农经员”招考</w:t>
      </w:r>
      <w:r>
        <w:rPr>
          <w:rFonts w:hint="default" w:ascii="Times New Roman" w:hAnsi="Times New Roman" w:eastAsia="仿宋_GB2312" w:cs="Times New Roman"/>
          <w:b/>
          <w:sz w:val="28"/>
          <w:szCs w:val="28"/>
          <w:highlight w:val="none"/>
        </w:rPr>
        <w:t>要求</w:t>
      </w:r>
      <w:r>
        <w:rPr>
          <w:rFonts w:hint="default" w:ascii="Times New Roman" w:hAnsi="Times New Roman" w:eastAsia="仿宋_GB2312" w:cs="Times New Roman"/>
          <w:b/>
          <w:bCs/>
          <w:sz w:val="28"/>
          <w:szCs w:val="28"/>
          <w:highlight w:val="none"/>
        </w:rPr>
        <w:t>专业</w:t>
      </w:r>
    </w:p>
    <w:p w14:paraId="2B9E0A21">
      <w:pPr>
        <w:spacing w:line="44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财会、财会教育、财务管理、财务会计、财务会计教育、财务审计、财务信息管理、财务与精算学、财政学、工业会计、企业会计、管理会计、国际财务与金融、国际会计、会计、会计电算化、会计学、会计与金融、会计与统计核算、金融财务管理、农林经济管理、农业经济、农业经济管理、企业财务管理、涉外财务、审计学、涉外会计、会计与审计、财务与会计</w:t>
      </w:r>
      <w:r>
        <w:rPr>
          <w:rFonts w:hint="default" w:ascii="Times New Roman" w:hAnsi="Times New Roman" w:eastAsia="仿宋_GB2312" w:cs="Times New Roman"/>
          <w:kern w:val="0"/>
          <w:sz w:val="28"/>
          <w:szCs w:val="28"/>
          <w:highlight w:val="none"/>
          <w:lang w:eastAsia="zh-CN"/>
        </w:rPr>
        <w:t>、</w:t>
      </w:r>
      <w:r>
        <w:rPr>
          <w:rFonts w:hint="default" w:ascii="Times New Roman" w:hAnsi="Times New Roman" w:eastAsia="仿宋_GB2312" w:cs="Times New Roman"/>
          <w:sz w:val="28"/>
          <w:szCs w:val="28"/>
          <w:highlight w:val="none"/>
        </w:rPr>
        <w:t>税收学、税务</w:t>
      </w:r>
      <w:r>
        <w:rPr>
          <w:rFonts w:hint="default" w:ascii="Times New Roman" w:hAnsi="Times New Roman" w:eastAsia="仿宋_GB2312" w:cs="Times New Roman"/>
          <w:kern w:val="0"/>
          <w:sz w:val="28"/>
          <w:szCs w:val="28"/>
          <w:highlight w:val="none"/>
        </w:rPr>
        <w:t>。</w:t>
      </w:r>
    </w:p>
    <w:p w14:paraId="19C5345C">
      <w:pPr>
        <w:spacing w:line="440" w:lineRule="exact"/>
        <w:ind w:firstLine="537" w:firstLineChars="191"/>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九、“畜牧兽医员”招考</w:t>
      </w:r>
      <w:r>
        <w:rPr>
          <w:rFonts w:hint="default" w:ascii="Times New Roman" w:hAnsi="Times New Roman" w:eastAsia="仿宋_GB2312" w:cs="Times New Roman"/>
          <w:b/>
          <w:sz w:val="28"/>
          <w:szCs w:val="28"/>
          <w:highlight w:val="none"/>
        </w:rPr>
        <w:t>要求</w:t>
      </w:r>
      <w:r>
        <w:rPr>
          <w:rFonts w:hint="default" w:ascii="Times New Roman" w:hAnsi="Times New Roman" w:eastAsia="仿宋_GB2312" w:cs="Times New Roman"/>
          <w:b/>
          <w:bCs/>
          <w:sz w:val="28"/>
          <w:szCs w:val="28"/>
          <w:highlight w:val="none"/>
        </w:rPr>
        <w:t>专业</w:t>
      </w:r>
    </w:p>
    <w:p w14:paraId="5555D143">
      <w:pPr>
        <w:spacing w:line="440" w:lineRule="exact"/>
        <w:ind w:firstLine="534" w:firstLineChars="191"/>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畜牧兽医、畜牧、兽医、动物医学、动物科学、动物营养学、动物卫生检验、动植物检疫、宠物医学、动物防疫、临床兽医学、预防兽医学、动物药学、动物疾病防治与检疫、兽医医药、动物遗传与育种、农林牧渔类畜牧兽医类畜牧专业、动物防疫与检疫、畜牧兽医宠物疾病与防治、预防兽医、基础兽医学、动物植物检疫、动物检疫、畜禽饲养与疾病防治、饲料与动物营养、特种动物养殖、实验动物养殖、宠物养护与疫病防治、动物科学与技术、畜牧学、兽医学。</w:t>
      </w:r>
    </w:p>
    <w:p w14:paraId="71567C22">
      <w:pPr>
        <w:spacing w:line="440" w:lineRule="exact"/>
        <w:ind w:firstLine="562" w:firstLineChars="200"/>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十、“农技员”招考要求专业</w:t>
      </w:r>
    </w:p>
    <w:p w14:paraId="5C242171">
      <w:pPr>
        <w:spacing w:line="44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农学、热带作物、园艺、药用植物、植物保护、土壤与农业化学、茶学、烟草、植物科学与技术、植物科学与技术、果树、种子科学与工程、蔬菜、应用生物科学、观赏园艺、设施农业科学与工程、种子、茶艺、农业推广、土壤学、农业机械化及其自动化、畜禽饲养与疾病防治、茶叶加工和营销、生物科学、农艺木艺专业、现代园艺园林、园林与绿化工程、园艺技术、园林规划设计、林业、树木专业、植被养殖专业、植物病理学、园林工程技术、园林技术、园林、林业技术、设施农业、动物科学、林学、生物技术、作物遗传育种、农业资源与环境、农产品贮运与加工、农药学、农村区域发展、农林牧渔类农林管理类农村行政管理、设施农业技术、作物遗传育种、作物遗传育种、园艺学、农业科技组织与服务、作物生产技术、种子生产与经营、观光农业、茶叶生产加工技术、中草药栽培技术、烟草栽培技术、植物检疫、农产品质量检测、绿色食品生产与经营、绿色食品生产与检测、药用植物栽培加工、食药用菌</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绿色食品生产与检验。</w:t>
      </w:r>
    </w:p>
    <w:p w14:paraId="6E8152EE">
      <w:pPr>
        <w:spacing w:line="440" w:lineRule="exact"/>
        <w:ind w:firstLine="562" w:firstLineChars="200"/>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十一、“统计员”招考要求专业</w:t>
      </w:r>
    </w:p>
    <w:p w14:paraId="40AB1D88">
      <w:pPr>
        <w:spacing w:line="44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统计学、数学、数学与应用数学、统计数学、统计与概率、基础数学、应用数学、运筹学与控制论、基础数学与应用数学、经济统计学、应用数学、应用数学统计、应用统计、金融数学、信息与计算科学、数学统计、应用统计与计算科学类统计专业、统计、计算数学、概率论与数理统计等、应用统计硕士、金融与精算数学、数理统计、金融统计、应用统计学。</w:t>
      </w:r>
    </w:p>
    <w:p w14:paraId="797E04E9">
      <w:pPr>
        <w:spacing w:line="440" w:lineRule="exact"/>
        <w:ind w:firstLine="557" w:firstLineChars="198"/>
        <w:rPr>
          <w:rFonts w:hint="default" w:ascii="Times New Roman" w:hAnsi="Times New Roman" w:eastAsia="仿宋_GB2312" w:cs="Times New Roman"/>
          <w:b/>
          <w:sz w:val="28"/>
          <w:szCs w:val="28"/>
          <w:highlight w:val="none"/>
        </w:rPr>
      </w:pPr>
    </w:p>
    <w:p w14:paraId="4478DF40">
      <w:pPr>
        <w:spacing w:line="440" w:lineRule="exact"/>
        <w:ind w:firstLine="512" w:firstLineChars="183"/>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sz w:val="28"/>
          <w:szCs w:val="28"/>
          <w:highlight w:val="none"/>
        </w:rPr>
        <w:t>本办法未尽事宜，由泰顺县人力资源和社会保障局会同招聘单位及各业务主管部门研究确定。</w:t>
      </w:r>
    </w:p>
    <w:p w14:paraId="0F40B81A">
      <w:pPr>
        <w:widowControl/>
        <w:spacing w:line="560" w:lineRule="exact"/>
        <w:ind w:firstLine="560" w:firstLineChars="200"/>
        <w:jc w:val="left"/>
        <w:rPr>
          <w:rFonts w:hint="default" w:ascii="Times New Roman" w:hAnsi="Times New Roman" w:eastAsia="仿宋_GB2312" w:cs="Times New Roman"/>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mNjZjNWEzOTRkNjFlMmFmNTAxYTdhYWMzOGE2ODkifQ=="/>
  </w:docVars>
  <w:rsids>
    <w:rsidRoot w:val="00356CFA"/>
    <w:rsid w:val="000462B3"/>
    <w:rsid w:val="00070395"/>
    <w:rsid w:val="00092EBE"/>
    <w:rsid w:val="001264F0"/>
    <w:rsid w:val="00150F45"/>
    <w:rsid w:val="0015546F"/>
    <w:rsid w:val="00196669"/>
    <w:rsid w:val="00216873"/>
    <w:rsid w:val="002C375C"/>
    <w:rsid w:val="00356CFA"/>
    <w:rsid w:val="003C2413"/>
    <w:rsid w:val="00455DCE"/>
    <w:rsid w:val="0050191A"/>
    <w:rsid w:val="00521EF9"/>
    <w:rsid w:val="0055596B"/>
    <w:rsid w:val="00562286"/>
    <w:rsid w:val="005829AA"/>
    <w:rsid w:val="00593E83"/>
    <w:rsid w:val="005B73F9"/>
    <w:rsid w:val="006306D9"/>
    <w:rsid w:val="00662E82"/>
    <w:rsid w:val="006F2F6A"/>
    <w:rsid w:val="0071281F"/>
    <w:rsid w:val="00722D67"/>
    <w:rsid w:val="00754064"/>
    <w:rsid w:val="007625F7"/>
    <w:rsid w:val="00795EDF"/>
    <w:rsid w:val="00804FB2"/>
    <w:rsid w:val="00822A92"/>
    <w:rsid w:val="008231D8"/>
    <w:rsid w:val="00825F44"/>
    <w:rsid w:val="008507C8"/>
    <w:rsid w:val="0085194E"/>
    <w:rsid w:val="00920D83"/>
    <w:rsid w:val="009515FB"/>
    <w:rsid w:val="0095348F"/>
    <w:rsid w:val="00962766"/>
    <w:rsid w:val="009C75FD"/>
    <w:rsid w:val="009E043E"/>
    <w:rsid w:val="009F0031"/>
    <w:rsid w:val="00A0520C"/>
    <w:rsid w:val="00A14016"/>
    <w:rsid w:val="00A87EFC"/>
    <w:rsid w:val="00AF0726"/>
    <w:rsid w:val="00B83A30"/>
    <w:rsid w:val="00B9735F"/>
    <w:rsid w:val="00BC6FA1"/>
    <w:rsid w:val="00C701F9"/>
    <w:rsid w:val="00C92D3E"/>
    <w:rsid w:val="00C9671B"/>
    <w:rsid w:val="00D0705D"/>
    <w:rsid w:val="00DB0EAB"/>
    <w:rsid w:val="00DC58EF"/>
    <w:rsid w:val="00E11613"/>
    <w:rsid w:val="00E1763C"/>
    <w:rsid w:val="00E476E2"/>
    <w:rsid w:val="00F01D6F"/>
    <w:rsid w:val="00F40542"/>
    <w:rsid w:val="00F80A25"/>
    <w:rsid w:val="00FC7A2A"/>
    <w:rsid w:val="0667442D"/>
    <w:rsid w:val="06B81ED8"/>
    <w:rsid w:val="074327A4"/>
    <w:rsid w:val="094C3466"/>
    <w:rsid w:val="1299596E"/>
    <w:rsid w:val="14147DD2"/>
    <w:rsid w:val="15EF2BBE"/>
    <w:rsid w:val="18237F3A"/>
    <w:rsid w:val="18441ED8"/>
    <w:rsid w:val="1B155DAE"/>
    <w:rsid w:val="1DF5419E"/>
    <w:rsid w:val="1FE40317"/>
    <w:rsid w:val="203B3890"/>
    <w:rsid w:val="20D4542C"/>
    <w:rsid w:val="212216EA"/>
    <w:rsid w:val="21D70D67"/>
    <w:rsid w:val="26497630"/>
    <w:rsid w:val="2935509C"/>
    <w:rsid w:val="29BC7533"/>
    <w:rsid w:val="2D8D11DF"/>
    <w:rsid w:val="2E13617D"/>
    <w:rsid w:val="2E5D2788"/>
    <w:rsid w:val="327B210D"/>
    <w:rsid w:val="329541C2"/>
    <w:rsid w:val="39355917"/>
    <w:rsid w:val="3998384E"/>
    <w:rsid w:val="3B800BCA"/>
    <w:rsid w:val="3BAB0C9D"/>
    <w:rsid w:val="3BDF7B19"/>
    <w:rsid w:val="3C8F079A"/>
    <w:rsid w:val="3D45031D"/>
    <w:rsid w:val="3E681CC9"/>
    <w:rsid w:val="3F720F81"/>
    <w:rsid w:val="40B53420"/>
    <w:rsid w:val="412344D1"/>
    <w:rsid w:val="420E33D3"/>
    <w:rsid w:val="42621029"/>
    <w:rsid w:val="46071E91"/>
    <w:rsid w:val="4AE50A49"/>
    <w:rsid w:val="4BC206BA"/>
    <w:rsid w:val="532F9B05"/>
    <w:rsid w:val="53977B3D"/>
    <w:rsid w:val="56224A6D"/>
    <w:rsid w:val="56BFC167"/>
    <w:rsid w:val="581B1CCB"/>
    <w:rsid w:val="5C124D16"/>
    <w:rsid w:val="5CB52971"/>
    <w:rsid w:val="62467333"/>
    <w:rsid w:val="65060751"/>
    <w:rsid w:val="6558008C"/>
    <w:rsid w:val="68C83AB4"/>
    <w:rsid w:val="6B3D1564"/>
    <w:rsid w:val="6D125276"/>
    <w:rsid w:val="6E8E3022"/>
    <w:rsid w:val="6EFD2325"/>
    <w:rsid w:val="6F5E0727"/>
    <w:rsid w:val="6F7C1C47"/>
    <w:rsid w:val="70483BF2"/>
    <w:rsid w:val="71F9E159"/>
    <w:rsid w:val="72BA2638"/>
    <w:rsid w:val="756F2BBA"/>
    <w:rsid w:val="7699499F"/>
    <w:rsid w:val="77B7CBB0"/>
    <w:rsid w:val="7B7711C5"/>
    <w:rsid w:val="7DFF9DD2"/>
    <w:rsid w:val="7E778723"/>
    <w:rsid w:val="7EAFBD4C"/>
    <w:rsid w:val="7F9F9C23"/>
    <w:rsid w:val="7FEFA1C8"/>
    <w:rsid w:val="8DDF272E"/>
    <w:rsid w:val="BFFDE8F2"/>
    <w:rsid w:val="C73F8EB9"/>
    <w:rsid w:val="D5A6C955"/>
    <w:rsid w:val="D5FB0986"/>
    <w:rsid w:val="D7FE84C0"/>
    <w:rsid w:val="DD3C07E3"/>
    <w:rsid w:val="DD77A6E4"/>
    <w:rsid w:val="EBDB1192"/>
    <w:rsid w:val="EF4F42DE"/>
    <w:rsid w:val="FA37E158"/>
    <w:rsid w:val="FAF68F87"/>
    <w:rsid w:val="FFF76E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character" w:styleId="8">
    <w:name w:val="Emphasis"/>
    <w:basedOn w:val="6"/>
    <w:qFormat/>
    <w:uiPriority w:val="20"/>
  </w:style>
  <w:style w:type="character" w:styleId="9">
    <w:name w:val="Hyperlink"/>
    <w:basedOn w:val="6"/>
    <w:semiHidden/>
    <w:unhideWhenUsed/>
    <w:qFormat/>
    <w:uiPriority w:val="99"/>
    <w:rPr>
      <w:color w:val="FFFFFF"/>
      <w:u w:val="none"/>
    </w:rPr>
  </w:style>
  <w:style w:type="character" w:customStyle="1" w:styleId="10">
    <w:name w:val="fenx"/>
    <w:basedOn w:val="6"/>
    <w:qFormat/>
    <w:uiPriority w:val="0"/>
  </w:style>
  <w:style w:type="character" w:customStyle="1" w:styleId="11">
    <w:name w:val="页眉 字符"/>
    <w:basedOn w:val="6"/>
    <w:link w:val="3"/>
    <w:qFormat/>
    <w:uiPriority w:val="99"/>
    <w:rPr>
      <w:sz w:val="18"/>
      <w:szCs w:val="18"/>
    </w:rPr>
  </w:style>
  <w:style w:type="character" w:customStyle="1" w:styleId="12">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4955</Words>
  <Characters>4990</Characters>
  <Lines>7</Lines>
  <Paragraphs>2</Paragraphs>
  <TotalTime>1</TotalTime>
  <ScaleCrop>false</ScaleCrop>
  <LinksUpToDate>false</LinksUpToDate>
  <CharactersWithSpaces>4990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2017-11-25T06:39:00Z</dcterms:created>
  <dc:creator>Administrator</dc:creator>
  <cp:lastModifiedBy>邓汉珍</cp:lastModifiedBy>
  <cp:lastPrinted>2025-03-18T19:14:00Z</cp:lastPrinted>
  <dcterms:modified xsi:type="dcterms:W3CDTF">2026-07-03T07:00:42Z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B9905163912F4AD5BF8D567266FA68E2</vt:lpwstr>
  </property>
  <property fmtid="{D5CDD505-2E9C-101B-9397-08002B2CF9AE}" pid="4" name="KSOTemplateDocerSaveRecord">
    <vt:lpwstr>eyJoZGlkIjoiZmFiNGI2OWI1NjMxMDgxOGJmN2NiNmNiOGZjZTc3NzEiLCJ1c2VySWQiOiIxODUzMTgxODI0In0=</vt:lpwstr>
  </property>
</Properties>
</file>