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line="560" w:lineRule="atLeast"/>
        <w:jc w:val="center"/>
      </w:pPr>
      <w:r>
        <w:rPr>
          <w:rFonts w:ascii="黑体" w:hAnsi="宋体" w:eastAsia="黑体" w:cs="黑体"/>
          <w:sz w:val="44"/>
          <w:szCs w:val="44"/>
        </w:rPr>
        <w:t>武汉轻工大学2021年普通专升本招生简章</w:t>
      </w:r>
    </w:p>
    <w:p>
      <w:pPr>
        <w:pStyle w:val="5"/>
        <w:keepNext w:val="0"/>
        <w:keepLines w:val="0"/>
        <w:widowControl/>
        <w:suppressLineNumbers w:val="0"/>
        <w:spacing w:line="360" w:lineRule="auto"/>
        <w:jc w:val="center"/>
      </w:pPr>
      <w:r>
        <w:rPr>
          <w:rFonts w:ascii="仿宋_GB2312" w:hAnsi="宋体" w:eastAsia="仿宋_GB2312" w:cs="仿宋_GB2312"/>
          <w:sz w:val="32"/>
          <w:szCs w:val="32"/>
        </w:rPr>
        <w:t>（院校代码：10496）</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根据《省教育厅关于做好2021年湖北省普通高等学校专升本工作的通知》精神，结合我校普通专升本招生专业培养目标和要求，特制定本章程。</w:t>
      </w:r>
    </w:p>
    <w:p>
      <w:pPr>
        <w:pStyle w:val="5"/>
        <w:keepNext w:val="0"/>
        <w:keepLines w:val="0"/>
        <w:widowControl/>
        <w:suppressLineNumbers w:val="0"/>
        <w:spacing w:line="500" w:lineRule="atLeast"/>
        <w:ind w:left="0" w:firstLine="643"/>
        <w:jc w:val="both"/>
      </w:pPr>
      <w:r>
        <w:rPr>
          <w:rStyle w:val="8"/>
          <w:rFonts w:ascii="楷体_GB2312" w:hAnsi="宋体" w:eastAsia="楷体_GB2312" w:cs="楷体_GB2312"/>
          <w:sz w:val="32"/>
          <w:szCs w:val="32"/>
        </w:rPr>
        <w:t>一、招生对象及条件</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（一）招生对象</w:t>
      </w:r>
      <w:bookmarkStart w:id="0" w:name="_GoBack"/>
      <w:bookmarkEnd w:id="0"/>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1.高职高专应届毕业生。</w:t>
      </w:r>
      <w:r>
        <w:rPr>
          <w:rFonts w:hint="default" w:ascii="仿宋_GB2312" w:hAnsi="宋体" w:eastAsia="仿宋_GB2312" w:cs="仿宋_GB2312"/>
          <w:sz w:val="32"/>
          <w:szCs w:val="32"/>
        </w:rPr>
        <w:t>2021年湖北高校普通全日制高职高专应届毕业生，报考时能如期毕业（以下简称“普通考生”）。</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2.专项计划考生。</w:t>
      </w:r>
      <w:r>
        <w:rPr>
          <w:rFonts w:hint="default" w:ascii="仿宋_GB2312" w:hAnsi="宋体" w:eastAsia="仿宋_GB2312" w:cs="仿宋_GB2312"/>
          <w:sz w:val="32"/>
          <w:szCs w:val="32"/>
        </w:rPr>
        <w:t>符合“普通考生”报考条件，且经扶贫部门确认并录入全国扶贫开发信息系统的原建档立卡贫困家庭学生。</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（二）报名条件</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符合报名资格的招生对象，且具备以下条件者，可报考我校：</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1.具有良好的思想品德和政治素质，热爱祖国，遵纪守法，在校期间未受任何纪律处分（或所受处分已解除）；</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2.修完普通高职高专课程，成绩良好，能如期毕业；</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3.身体健康；</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4.所学专科专业需符合我校报考本科专业要求，详见“附件2《武汉轻工大学2021年普通专升本招生专业对高职（专科）专业的报考范围要求》”。</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二、招生计划</w:t>
      </w:r>
    </w:p>
    <w:p>
      <w:pPr>
        <w:pStyle w:val="5"/>
        <w:keepNext w:val="0"/>
        <w:keepLines w:val="0"/>
        <w:widowControl/>
        <w:suppressLineNumbers w:val="0"/>
        <w:spacing w:line="500" w:lineRule="atLeast"/>
        <w:ind w:left="0" w:firstLine="675"/>
        <w:jc w:val="both"/>
      </w:pPr>
      <w:r>
        <w:rPr>
          <w:rFonts w:hint="default" w:ascii="仿宋_GB2312" w:hAnsi="宋体" w:eastAsia="仿宋_GB2312" w:cs="仿宋_GB2312"/>
          <w:sz w:val="32"/>
          <w:szCs w:val="32"/>
        </w:rPr>
        <w:t>我校2021年专升本招生计划分“普通考生计划”和“专项计划”，详见“附件1《武汉轻工大学2021年普通专升本各专业招生计划》”。</w:t>
      </w:r>
    </w:p>
    <w:p>
      <w:pPr>
        <w:pStyle w:val="5"/>
        <w:keepNext w:val="0"/>
        <w:keepLines w:val="0"/>
        <w:widowControl/>
        <w:suppressLineNumbers w:val="0"/>
        <w:spacing w:line="500" w:lineRule="atLeast"/>
        <w:ind w:left="0" w:firstLine="675"/>
        <w:jc w:val="both"/>
      </w:pPr>
      <w:r>
        <w:rPr>
          <w:rFonts w:hint="default" w:ascii="仿宋_GB2312" w:hAnsi="宋体" w:eastAsia="仿宋_GB2312" w:cs="仿宋_GB2312"/>
          <w:sz w:val="32"/>
          <w:szCs w:val="32"/>
        </w:rPr>
        <w:t>在保持招生总计划不变的情况下，我校将根据考生报名情况对分专业计划进行调整。当我校某专业报考人数不足， 招生计划出现空余时，将空余计划调整至其他专业使用；当我校专项计划报考总人数不足出现专项计划空余的，空余计划将调整至普通考生计划使用。调整情况于5月28日前在我校教务处网站（网址</w:t>
      </w:r>
      <w:r>
        <w:rPr>
          <w:rFonts w:hint="eastAsia" w:ascii="宋体" w:hAnsi="宋体" w:eastAsia="宋体" w:cs="宋体"/>
          <w:sz w:val="32"/>
          <w:szCs w:val="32"/>
        </w:rPr>
        <w:t>http://jwc.whpu.edu.cn</w:t>
      </w:r>
      <w:r>
        <w:rPr>
          <w:rFonts w:hint="default" w:ascii="仿宋_GB2312" w:hAnsi="宋体" w:eastAsia="仿宋_GB2312" w:cs="仿宋_GB2312"/>
          <w:sz w:val="32"/>
          <w:szCs w:val="32"/>
        </w:rPr>
        <w:t>）公布。</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三、报名</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考生只能选择“普通考生”、“专项计划考生”中的一种考生类型报考。每名考生限填报一个我校的本科专业。考生报考我校时务必首先确认本人是否符合所填报本科专业的报考条件，各本科招生专业对报考考生专科专业的要求详见“附件2《武汉轻工大学2021年普通专升本招生专业对高职（专科）专业的报考范围要求》”。</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（一）院校代码：</w:t>
      </w:r>
      <w:r>
        <w:rPr>
          <w:rFonts w:hint="default" w:ascii="仿宋_GB2312" w:hAnsi="宋体" w:eastAsia="仿宋_GB2312" w:cs="仿宋_GB2312"/>
          <w:sz w:val="32"/>
          <w:szCs w:val="32"/>
        </w:rPr>
        <w:t>10496 武汉轻工大学</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（二）报名流程：</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1.统一报名</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（1）符合报名资格条件的考生于</w:t>
      </w:r>
      <w:r>
        <w:rPr>
          <w:rStyle w:val="8"/>
          <w:rFonts w:hint="default" w:ascii="仿宋_GB2312" w:hAnsi="宋体" w:eastAsia="仿宋_GB2312" w:cs="仿宋_GB2312"/>
          <w:sz w:val="32"/>
          <w:szCs w:val="32"/>
        </w:rPr>
        <w:t>2021年5月13日8：00至5月16日18：00</w:t>
      </w:r>
      <w:r>
        <w:rPr>
          <w:rFonts w:hint="default" w:ascii="仿宋_GB2312" w:hAnsi="宋体" w:eastAsia="仿宋_GB2312" w:cs="仿宋_GB2312"/>
          <w:sz w:val="32"/>
          <w:szCs w:val="32"/>
        </w:rPr>
        <w:t>登录湖北省高等学校普通专升本报名平台（以下简称“报名平台”，网址为</w:t>
      </w:r>
      <w:r>
        <w:rPr>
          <w:rStyle w:val="8"/>
          <w:rFonts w:hint="default" w:ascii="仿宋_GB2312" w:hAnsi="宋体" w:eastAsia="仿宋_GB2312" w:cs="仿宋_GB2312"/>
          <w:sz w:val="32"/>
          <w:szCs w:val="32"/>
        </w:rPr>
        <w:t>http://zsb.e21.cn</w:t>
      </w:r>
      <w:r>
        <w:rPr>
          <w:rFonts w:hint="default" w:ascii="仿宋_GB2312" w:hAnsi="宋体" w:eastAsia="仿宋_GB2312" w:cs="仿宋_GB2312"/>
          <w:sz w:val="32"/>
          <w:szCs w:val="32"/>
        </w:rPr>
        <w:t>）网络报名时考生须提交本人电子照片。电子照片须真实表达考生本人相貌。禁止对电子照片图像整体或局部进行镜像旋转等变换操作。不得对人像特征（如伤疤、痣、发型等）进行技术处理。除头像外，不得添加边框、文字、图案等其他内容。数字化图像文件为宽480像素*高640像素，分辨率300dpi，应符合JPEG标准，压缩后文件大小一般在20KB至40KB。考生也可注册并登录“中国高等教育学生信息网” （学信网）（网址为https://www.chsi.com.cn），获取并使用本人学信网的学历（录取）照片作为网络报名电子照片。具体报名流程请登录报名平台查看《考生须知》。</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（2）</w:t>
      </w:r>
      <w:r>
        <w:rPr>
          <w:rStyle w:val="8"/>
          <w:rFonts w:hint="default" w:ascii="仿宋_GB2312" w:hAnsi="宋体" w:eastAsia="仿宋_GB2312" w:cs="仿宋_GB2312"/>
          <w:sz w:val="32"/>
          <w:szCs w:val="32"/>
        </w:rPr>
        <w:t>考生对其提供的信息和资料真实性负责，并承担相应责任。</w:t>
      </w:r>
      <w:r>
        <w:rPr>
          <w:rFonts w:hint="default" w:ascii="仿宋_GB2312" w:hAnsi="宋体" w:eastAsia="仿宋_GB2312" w:cs="仿宋_GB2312"/>
          <w:sz w:val="32"/>
          <w:szCs w:val="32"/>
        </w:rPr>
        <w:t>网络报名期间，考生可查看分校分专业报名情况，并可修改志愿。</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（3）填报志愿结束后，我校将于</w:t>
      </w:r>
      <w:r>
        <w:rPr>
          <w:rStyle w:val="8"/>
          <w:rFonts w:hint="default" w:ascii="仿宋_GB2312" w:hAnsi="宋体" w:eastAsia="仿宋_GB2312" w:cs="仿宋_GB2312"/>
          <w:sz w:val="32"/>
          <w:szCs w:val="32"/>
        </w:rPr>
        <w:t>2021年5月17日</w:t>
      </w:r>
      <w:r>
        <w:rPr>
          <w:rFonts w:hint="default" w:ascii="仿宋_GB2312" w:hAnsi="宋体" w:eastAsia="仿宋_GB2312" w:cs="仿宋_GB2312"/>
          <w:sz w:val="32"/>
          <w:szCs w:val="32"/>
        </w:rPr>
        <w:t>按照招生简章有关规定对考生的志愿信息进行审核确认，志愿信息审核通过的考生不得再更改志愿信息；志愿信息审核未通过的考生于</w:t>
      </w:r>
      <w:r>
        <w:rPr>
          <w:rStyle w:val="8"/>
          <w:rFonts w:hint="default" w:ascii="仿宋_GB2312" w:hAnsi="宋体" w:eastAsia="仿宋_GB2312" w:cs="仿宋_GB2312"/>
          <w:sz w:val="32"/>
          <w:szCs w:val="32"/>
        </w:rPr>
        <w:t>2021年5月18日8:00至17:00</w:t>
      </w:r>
      <w:r>
        <w:rPr>
          <w:rFonts w:hint="default" w:ascii="仿宋_GB2312" w:hAnsi="宋体" w:eastAsia="仿宋_GB2312" w:cs="仿宋_GB2312"/>
          <w:sz w:val="32"/>
          <w:szCs w:val="32"/>
        </w:rPr>
        <w:t>更正一次志愿信息；我校于</w:t>
      </w:r>
      <w:r>
        <w:rPr>
          <w:rStyle w:val="8"/>
          <w:rFonts w:hint="default" w:ascii="仿宋_GB2312" w:hAnsi="宋体" w:eastAsia="仿宋_GB2312" w:cs="仿宋_GB2312"/>
          <w:sz w:val="32"/>
          <w:szCs w:val="32"/>
        </w:rPr>
        <w:t>2021年5月19日</w:t>
      </w:r>
      <w:r>
        <w:rPr>
          <w:rFonts w:hint="default" w:ascii="仿宋_GB2312" w:hAnsi="宋体" w:eastAsia="仿宋_GB2312" w:cs="仿宋_GB2312"/>
          <w:sz w:val="32"/>
          <w:szCs w:val="32"/>
        </w:rPr>
        <w:t>对更正志愿的考生进行专业志愿终审；考生可于</w:t>
      </w:r>
      <w:r>
        <w:rPr>
          <w:rStyle w:val="8"/>
          <w:rFonts w:hint="default" w:ascii="仿宋_GB2312" w:hAnsi="宋体" w:eastAsia="仿宋_GB2312" w:cs="仿宋_GB2312"/>
          <w:sz w:val="32"/>
          <w:szCs w:val="32"/>
        </w:rPr>
        <w:t>2021年5月17日8:00至5月20日14:00</w:t>
      </w:r>
      <w:r>
        <w:rPr>
          <w:rFonts w:hint="default" w:ascii="仿宋_GB2312" w:hAnsi="宋体" w:eastAsia="仿宋_GB2312" w:cs="仿宋_GB2312"/>
          <w:sz w:val="32"/>
          <w:szCs w:val="32"/>
        </w:rPr>
        <w:t>打印《2021年湖北省高校普通专升本报名申请表》</w:t>
      </w:r>
      <w:r>
        <w:rPr>
          <w:rStyle w:val="8"/>
          <w:rFonts w:hint="default" w:ascii="仿宋_GB2312" w:hAnsi="宋体" w:eastAsia="仿宋_GB2312" w:cs="仿宋_GB2312"/>
          <w:sz w:val="32"/>
          <w:szCs w:val="32"/>
        </w:rPr>
        <w:t>。</w:t>
      </w:r>
      <w:r>
        <w:rPr>
          <w:rFonts w:hint="default" w:ascii="仿宋_GB2312" w:hAnsi="宋体" w:eastAsia="仿宋_GB2312" w:cs="仿宋_GB2312"/>
          <w:sz w:val="32"/>
          <w:szCs w:val="32"/>
        </w:rPr>
        <w:t>具体时间以报名平台通知为准。</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2.考生信息审核</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经湖北省高等学校普通专升本报名平台完成志愿填报，并审核通过的考生于</w:t>
      </w:r>
      <w:r>
        <w:rPr>
          <w:rStyle w:val="8"/>
          <w:rFonts w:hint="default" w:ascii="仿宋_GB2312" w:hAnsi="宋体" w:eastAsia="仿宋_GB2312" w:cs="仿宋_GB2312"/>
          <w:sz w:val="32"/>
          <w:szCs w:val="32"/>
        </w:rPr>
        <w:t>2021年5月19日14:00至5月21日23:00</w:t>
      </w:r>
      <w:r>
        <w:rPr>
          <w:rFonts w:hint="default" w:ascii="仿宋_GB2312" w:hAnsi="宋体" w:eastAsia="仿宋_GB2312" w:cs="仿宋_GB2312"/>
          <w:sz w:val="32"/>
          <w:szCs w:val="32"/>
        </w:rPr>
        <w:t>登录我校教务处网站，根据考生信息审核相关通知，经由我校专升本报名管理系统提交材料：</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①与报名身份信息相符且在有效期内的</w:t>
      </w:r>
      <w:r>
        <w:rPr>
          <w:rStyle w:val="8"/>
          <w:rFonts w:hint="default" w:ascii="仿宋_GB2312" w:hAnsi="宋体" w:eastAsia="仿宋_GB2312" w:cs="仿宋_GB2312"/>
          <w:sz w:val="32"/>
          <w:szCs w:val="32"/>
        </w:rPr>
        <w:t>二代身份证</w:t>
      </w:r>
      <w:r>
        <w:rPr>
          <w:rFonts w:hint="default" w:ascii="仿宋_GB2312" w:hAnsi="宋体" w:eastAsia="仿宋_GB2312" w:cs="仿宋_GB2312"/>
          <w:sz w:val="32"/>
          <w:szCs w:val="32"/>
        </w:rPr>
        <w:t>扫描件（正反面在同一页， PDF文档格式电子版）；</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②考生本人经学信网申请的</w:t>
      </w:r>
      <w:r>
        <w:rPr>
          <w:rStyle w:val="8"/>
          <w:rFonts w:hint="default" w:ascii="仿宋_GB2312" w:hAnsi="宋体" w:eastAsia="仿宋_GB2312" w:cs="仿宋_GB2312"/>
          <w:sz w:val="32"/>
          <w:szCs w:val="32"/>
        </w:rPr>
        <w:t>《教育部学籍在线验证报告》</w:t>
      </w:r>
      <w:r>
        <w:rPr>
          <w:rFonts w:hint="default" w:ascii="仿宋_GB2312" w:hAnsi="宋体" w:eastAsia="仿宋_GB2312" w:cs="仿宋_GB2312"/>
          <w:sz w:val="32"/>
          <w:szCs w:val="32"/>
        </w:rPr>
        <w:t>（学信网下载的PDF文档格式电子版），学籍在线验证报告申请方法步骤见附件5（注：请直接上传学信网下载的PDF文档，请勿打印后二次扫描上传。）；</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③考生本人经湖北省高等学校普通专升本报名平台打印并</w:t>
      </w:r>
      <w:r>
        <w:rPr>
          <w:rStyle w:val="8"/>
          <w:rFonts w:hint="default" w:ascii="仿宋_GB2312" w:hAnsi="宋体" w:eastAsia="仿宋_GB2312" w:cs="仿宋_GB2312"/>
          <w:sz w:val="32"/>
          <w:szCs w:val="32"/>
        </w:rPr>
        <w:t>签字</w:t>
      </w:r>
      <w:r>
        <w:rPr>
          <w:rFonts w:hint="default" w:ascii="仿宋_GB2312" w:hAnsi="宋体" w:eastAsia="仿宋_GB2312" w:cs="仿宋_GB2312"/>
          <w:sz w:val="32"/>
          <w:szCs w:val="32"/>
        </w:rPr>
        <w:t>的</w:t>
      </w:r>
      <w:r>
        <w:rPr>
          <w:rStyle w:val="8"/>
          <w:rFonts w:hint="default" w:ascii="仿宋_GB2312" w:hAnsi="宋体" w:eastAsia="仿宋_GB2312" w:cs="仿宋_GB2312"/>
          <w:sz w:val="32"/>
          <w:szCs w:val="32"/>
        </w:rPr>
        <w:t>《2021年湖北省高校普通专升本报名申请表》</w:t>
      </w:r>
      <w:r>
        <w:rPr>
          <w:rFonts w:hint="default" w:ascii="仿宋_GB2312" w:hAnsi="宋体" w:eastAsia="仿宋_GB2312" w:cs="仿宋_GB2312"/>
          <w:sz w:val="32"/>
          <w:szCs w:val="32"/>
        </w:rPr>
        <w:t>扫描件（PDF文档格式电子版）；</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④“专项计划考生”，须另行上传相关证明材料扫描件（PDF文档格式电子版）</w:t>
      </w:r>
      <w:r>
        <w:rPr>
          <w:rFonts w:hint="default" w:ascii="仿宋_GB2312" w:hAnsi="宋体" w:eastAsia="仿宋_GB2312" w:cs="仿宋_GB2312"/>
          <w:sz w:val="32"/>
          <w:szCs w:val="32"/>
        </w:rPr>
        <w:t>（注：专项计划考生须提供扶贫手册中含有考生个人信息的页面的扫描件，或者全国扶贫开发信息系统中含有考生个人信息的页面截图〈须加盖当地扶贫工作部门公章〉的扫描件。考试时须携带原件备查。）</w:t>
      </w:r>
      <w:r>
        <w:rPr>
          <w:rStyle w:val="8"/>
          <w:rFonts w:hint="default" w:ascii="仿宋_GB2312" w:hAnsi="宋体" w:eastAsia="仿宋_GB2312" w:cs="仿宋_GB2312"/>
          <w:sz w:val="32"/>
          <w:szCs w:val="32"/>
        </w:rPr>
        <w:t>。</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上述材料的电子版必须清晰可辨，信息可识别。我校接收考生提交材料后，将对报考学生的身份信息和学籍学历信息进行审核。</w:t>
      </w:r>
      <w:r>
        <w:rPr>
          <w:rStyle w:val="8"/>
          <w:rFonts w:hint="default" w:ascii="仿宋_GB2312" w:hAnsi="宋体" w:eastAsia="仿宋_GB2312" w:cs="仿宋_GB2312"/>
          <w:sz w:val="32"/>
          <w:szCs w:val="32"/>
        </w:rPr>
        <w:t>考生志愿信息与考生提供个人信息不相符、不满足我校报考条件的考生，取消报名资格。</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3.考生缴费</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经审核取得报名资格的考生，于2021年5月25日8:00至5月26日16:00登录我校学生网上缴费系统（网址为</w:t>
      </w:r>
      <w:r>
        <w:rPr>
          <w:rFonts w:hint="eastAsia" w:ascii="宋体" w:hAnsi="宋体" w:eastAsia="宋体" w:cs="宋体"/>
          <w:sz w:val="32"/>
          <w:szCs w:val="32"/>
        </w:rPr>
        <w:t>https://wssf.whpu.edu.cn/wsyh/login.aspx</w:t>
      </w:r>
      <w:r>
        <w:rPr>
          <w:rFonts w:hint="default" w:ascii="仿宋_GB2312" w:hAnsi="宋体" w:eastAsia="仿宋_GB2312" w:cs="仿宋_GB2312"/>
          <w:sz w:val="32"/>
          <w:szCs w:val="32"/>
        </w:rPr>
        <w:t>）缴纳考试费80元。缴费成功后将缴费成功的页面截图备用。</w:t>
      </w:r>
      <w:r>
        <w:rPr>
          <w:rStyle w:val="8"/>
          <w:rFonts w:hint="default" w:ascii="仿宋_GB2312" w:hAnsi="宋体" w:eastAsia="仿宋_GB2312" w:cs="仿宋_GB2312"/>
          <w:sz w:val="32"/>
          <w:szCs w:val="32"/>
        </w:rPr>
        <w:t>逾期未缴纳报名考试费的考生，视为自动放弃考试资格。报名考试费缴纳后，无论参加考试与否，一律不再退费。</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我校工作人员在任何时候、任何情况下都不会要求考生向私人账户汇款，请考生提高警惕，谨防诈骗。</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4.准考证打印</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考生于2021年6月15日8:00至6月19日13:30登录我校教务处网站专升本报名管理系统打印准考证。</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四、考试</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（一）考试时间：</w:t>
      </w:r>
      <w:r>
        <w:rPr>
          <w:rFonts w:hint="default" w:ascii="仿宋_GB2312" w:hAnsi="宋体" w:eastAsia="仿宋_GB2312" w:cs="仿宋_GB2312"/>
          <w:sz w:val="32"/>
          <w:szCs w:val="32"/>
        </w:rPr>
        <w:t>2021年6月19日</w:t>
      </w:r>
    </w:p>
    <w:p>
      <w:pPr>
        <w:pStyle w:val="5"/>
        <w:keepNext w:val="0"/>
        <w:keepLines w:val="0"/>
        <w:widowControl/>
        <w:suppressLineNumbers w:val="0"/>
        <w:spacing w:line="500" w:lineRule="atLeast"/>
        <w:jc w:val="both"/>
      </w:pPr>
      <w:r>
        <w:rPr>
          <w:rFonts w:hint="default" w:ascii="仿宋_GB2312" w:hAnsi="宋体" w:eastAsia="仿宋_GB2312" w:cs="仿宋_GB2312"/>
          <w:sz w:val="32"/>
          <w:szCs w:val="32"/>
        </w:rPr>
        <w:t>           科目1 —— 大学英语 09:00-11:00</w:t>
      </w:r>
    </w:p>
    <w:p>
      <w:pPr>
        <w:pStyle w:val="5"/>
        <w:keepNext w:val="0"/>
        <w:keepLines w:val="0"/>
        <w:widowControl/>
        <w:suppressLineNumbers w:val="0"/>
        <w:spacing w:line="500" w:lineRule="atLeast"/>
        <w:jc w:val="both"/>
      </w:pPr>
      <w:r>
        <w:rPr>
          <w:rFonts w:hint="default" w:ascii="仿宋_GB2312" w:hAnsi="宋体" w:eastAsia="仿宋_GB2312" w:cs="仿宋_GB2312"/>
          <w:sz w:val="32"/>
          <w:szCs w:val="32"/>
        </w:rPr>
        <w:t>           科目2 —— 专业综合 13:30-15:00</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（二）考试地点：</w:t>
      </w:r>
      <w:r>
        <w:rPr>
          <w:rFonts w:hint="default" w:ascii="仿宋_GB2312" w:hAnsi="宋体" w:eastAsia="仿宋_GB2312" w:cs="仿宋_GB2312"/>
          <w:sz w:val="32"/>
          <w:szCs w:val="32"/>
        </w:rPr>
        <w:t>武汉轻工大学（具体见准考证）</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（三）考试科目：</w:t>
      </w:r>
      <w:r>
        <w:rPr>
          <w:rFonts w:hint="default" w:ascii="仿宋_GB2312" w:hAnsi="宋体" w:eastAsia="仿宋_GB2312" w:cs="仿宋_GB2312"/>
          <w:sz w:val="32"/>
          <w:szCs w:val="32"/>
        </w:rPr>
        <w:t>考试科目为大学英语（科目1）与专业综合（科目2），每个考试科目的单科总分均为100分。考试科目、参考教材和考试大纲，详见“附件3《武汉轻工大学2021年普通专升本考试各专业考试科目、参考教材目录》”和“附件４《2021年普通专升本〈大学英语〉考试大纲》”。</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（四）</w:t>
      </w:r>
      <w:r>
        <w:rPr>
          <w:rStyle w:val="8"/>
          <w:rFonts w:hint="default" w:ascii="仿宋_GB2312" w:hAnsi="宋体" w:eastAsia="仿宋_GB2312" w:cs="仿宋_GB2312"/>
          <w:sz w:val="32"/>
          <w:szCs w:val="32"/>
        </w:rPr>
        <w:t>考生必须携带与报名身份信息相符且在有效期内的二代身份证及我校专升本报名管理系统打印的准考证参加考试。</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（五）</w:t>
      </w:r>
      <w:r>
        <w:rPr>
          <w:rStyle w:val="8"/>
          <w:rFonts w:hint="default" w:ascii="仿宋_GB2312" w:hAnsi="宋体" w:eastAsia="仿宋_GB2312" w:cs="仿宋_GB2312"/>
          <w:sz w:val="32"/>
          <w:szCs w:val="32"/>
        </w:rPr>
        <w:t>考试入场流程、疫情防控注意事项根据考前疫情防控工作要求，发布在我校教务处网站通知公告栏。</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（六）成绩查询与复查：</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考生可通过我校教务处网站专升本报名管理系统成绩查询功能查询本次考试成绩，我校同时公布成绩复查时间和程序。</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五、录取</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（一）录取规则：</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成绩发布完毕并复查无误后，我校将根据考生的考试成绩和各专业招生计划，划定各专业录取分数线，从高分至低分择优录取。若总分相同，按大学英语成绩排序录取。</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（二）录取程序：</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1.专项计划考生录取。</w:t>
      </w:r>
      <w:r>
        <w:rPr>
          <w:rFonts w:hint="default" w:ascii="仿宋_GB2312" w:hAnsi="宋体" w:eastAsia="仿宋_GB2312" w:cs="仿宋_GB2312"/>
          <w:sz w:val="32"/>
          <w:szCs w:val="32"/>
        </w:rPr>
        <w:t>①在普通考生录取前，先录取专项计划。根据录取规则，按专项计划考生的考试成绩从高分到低分依次录取，直至完成专项计划。②专项计划录取结束后，未被录取的专项计划考生，与普通考生一起参加普通考生录取。</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2.普通考生录取。</w:t>
      </w:r>
      <w:r>
        <w:rPr>
          <w:rFonts w:hint="default" w:ascii="仿宋_GB2312" w:hAnsi="宋体" w:eastAsia="仿宋_GB2312" w:cs="仿宋_GB2312"/>
          <w:sz w:val="32"/>
          <w:szCs w:val="32"/>
        </w:rPr>
        <w:t>①录取。根据录取规则和考生的考试成绩，在普通考生计划内从高分到低分依次录取。②补录。第一轮录取结束后，若有未完成的普通考生计划，我校将参加由湖北省教育厅统一组织的补录工作，按招生简章规定和大学英语科目成绩对报名参加补录的考生从高分到低分依次录取。</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（三）公示：</w:t>
      </w:r>
      <w:r>
        <w:rPr>
          <w:rFonts w:hint="default" w:ascii="仿宋_GB2312" w:hAnsi="宋体" w:eastAsia="仿宋_GB2312" w:cs="仿宋_GB2312"/>
          <w:sz w:val="32"/>
          <w:szCs w:val="32"/>
        </w:rPr>
        <w:t>我校将于6月30日前在教务处网站公示拟录取学生名单，公示时间为7天。</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（四）公示无异议后上报省教育厅审核备案。</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（五）报到入学：</w:t>
      </w:r>
      <w:r>
        <w:rPr>
          <w:rFonts w:hint="default" w:ascii="仿宋_GB2312" w:hAnsi="宋体" w:eastAsia="仿宋_GB2312" w:cs="仿宋_GB2312"/>
          <w:sz w:val="32"/>
          <w:szCs w:val="32"/>
        </w:rPr>
        <w:t>我校于8月上旬向通过审核备案的学生发放录取通知书。录取考生凭录取通知书办理户口和档案迁移手续，具体报到时间以通知书和专升本入学须知要求为准。</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六、收费项目和标准</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根据《湖北省物价局、湖北省教育厅关于规范教育招生考试收费有关问题的通知》（鄂价费﹝2006﹞107号）文件规定，报名参加我校普通专升本考试的考生应缴纳普通专升本报名考试费，收费标准为80元/生。</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被我校录取的2021年普通专升本学生，入学后的学费、住宿费等收费项目和标准与经省物价主管部门批准的2021年同一专业全日制普通本科学生一致。</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七、入学报到及学籍管理</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考生持录取通知书，按录取通知书及专升本入学须知有关要求和规定的期限到校办理入学手续。因故不能按期入学的，应当向学校请假。未请假或者请假逾期的，除因不可抗力等正当事由以外，视为放弃入学资格。我校将在报到时对新生入学资格进行审查，审查合格的办理入学手续，予以学籍注册。如审查发现考生信息等证明材料与本人实际不符等情况，我校按相关规定予以处理。专升本学生学籍管理按湖北省教育厅专升本政策执行。学生在校期间与其他本科生一样享受奖学金、助学金等待遇。</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专升本学生原则上单独编班教学，确实无法单独编班的可安排插班教学。专升本学生进入本科专业学习后，不得转专业或转学。</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专升本学生毕业与学位授予条件按我校有关规定执行，毕业证书内容按照国家规定填写，标注“在本校XX专业专科起点本科学习”，学习时间按进入本科阶段的实际时间填写。</w:t>
      </w:r>
    </w:p>
    <w:p>
      <w:pPr>
        <w:pStyle w:val="5"/>
        <w:keepNext w:val="0"/>
        <w:keepLines w:val="0"/>
        <w:widowControl/>
        <w:suppressLineNumbers w:val="0"/>
        <w:spacing w:line="500" w:lineRule="atLeast"/>
        <w:ind w:left="0" w:firstLine="640"/>
        <w:jc w:val="both"/>
      </w:pPr>
      <w:r>
        <w:rPr>
          <w:rFonts w:hint="default" w:ascii="仿宋_GB2312" w:hAnsi="宋体" w:eastAsia="仿宋_GB2312" w:cs="仿宋_GB2312"/>
          <w:sz w:val="32"/>
          <w:szCs w:val="32"/>
        </w:rPr>
        <w:t>专升本学生的就业按上级教育行政部门的有关政策执行。</w:t>
      </w:r>
    </w:p>
    <w:p>
      <w:pPr>
        <w:pStyle w:val="5"/>
        <w:keepNext w:val="0"/>
        <w:keepLines w:val="0"/>
        <w:widowControl/>
        <w:suppressLineNumbers w:val="0"/>
        <w:spacing w:line="500" w:lineRule="atLeast"/>
        <w:ind w:left="0" w:firstLine="643"/>
        <w:jc w:val="both"/>
      </w:pPr>
      <w:r>
        <w:rPr>
          <w:rStyle w:val="8"/>
          <w:rFonts w:hint="default" w:ascii="仿宋_GB2312" w:hAnsi="宋体" w:eastAsia="仿宋_GB2312" w:cs="仿宋_GB2312"/>
          <w:sz w:val="32"/>
          <w:szCs w:val="32"/>
        </w:rPr>
        <w:t>根据省教育厅有关文件精神，针对报考学生的资格审查将贯穿专升本招生、考试、录取、报到、考生入学、学习等全过程。在整个“专升本”各工作环节，一旦发现考生有弄虚作假、违规违纪行为，一律取消专升本考生报名、考试、录取、报到、在校学习资格。</w:t>
      </w:r>
    </w:p>
    <w:p>
      <w:pPr>
        <w:pStyle w:val="5"/>
        <w:keepNext w:val="0"/>
        <w:keepLines w:val="0"/>
        <w:widowControl/>
        <w:suppressLineNumbers w:val="0"/>
        <w:spacing w:line="500" w:lineRule="atLeast"/>
        <w:ind w:left="0" w:firstLine="643"/>
        <w:jc w:val="both"/>
      </w:pPr>
      <w:r>
        <w:rPr>
          <w:rStyle w:val="8"/>
          <w:rFonts w:hint="default" w:ascii="楷体_GB2312" w:hAnsi="宋体" w:eastAsia="楷体_GB2312" w:cs="楷体_GB2312"/>
          <w:sz w:val="32"/>
          <w:szCs w:val="32"/>
        </w:rPr>
        <w:t>八、联系方式</w:t>
      </w:r>
    </w:p>
    <w:p>
      <w:pPr>
        <w:pStyle w:val="5"/>
        <w:keepNext w:val="0"/>
        <w:keepLines w:val="0"/>
        <w:widowControl/>
        <w:suppressLineNumbers w:val="0"/>
        <w:spacing w:line="500" w:lineRule="atLeast"/>
        <w:ind w:left="0" w:firstLine="640"/>
        <w:jc w:val="both"/>
      </w:pPr>
      <w:r>
        <w:rPr>
          <w:rFonts w:ascii="fangsong_gb2312" w:hAnsi="fangsong_gb2312" w:eastAsia="fangsong_gb2312" w:cs="fangsong_gb2312"/>
          <w:sz w:val="32"/>
          <w:szCs w:val="32"/>
        </w:rPr>
        <w:t>工作网址（教务处网站）：</w:t>
      </w:r>
      <w:r>
        <w:rPr>
          <w:rFonts w:hint="default" w:ascii="fangsong_gb2312" w:hAnsi="fangsong_gb2312" w:eastAsia="fangsong_gb2312" w:cs="fangsong_gb2312"/>
          <w:color w:val="000000"/>
          <w:sz w:val="32"/>
          <w:szCs w:val="32"/>
          <w:u w:val="single"/>
        </w:rPr>
        <w:fldChar w:fldCharType="begin"/>
      </w:r>
      <w:r>
        <w:rPr>
          <w:rFonts w:hint="default" w:ascii="fangsong_gb2312" w:hAnsi="fangsong_gb2312" w:eastAsia="fangsong_gb2312" w:cs="fangsong_gb2312"/>
          <w:color w:val="000000"/>
          <w:sz w:val="32"/>
          <w:szCs w:val="32"/>
          <w:u w:val="single"/>
        </w:rPr>
        <w:instrText xml:space="preserve"> HYPERLINK "http://jwc.whpu.edu.cn/" </w:instrText>
      </w:r>
      <w:r>
        <w:rPr>
          <w:rFonts w:hint="default" w:ascii="fangsong_gb2312" w:hAnsi="fangsong_gb2312" w:eastAsia="fangsong_gb2312" w:cs="fangsong_gb2312"/>
          <w:color w:val="000000"/>
          <w:sz w:val="32"/>
          <w:szCs w:val="32"/>
          <w:u w:val="single"/>
        </w:rPr>
        <w:fldChar w:fldCharType="separate"/>
      </w:r>
      <w:r>
        <w:rPr>
          <w:rStyle w:val="10"/>
          <w:rFonts w:hint="default" w:ascii="fangsong_gb2312" w:hAnsi="fangsong_gb2312" w:eastAsia="fangsong_gb2312" w:cs="fangsong_gb2312"/>
          <w:color w:val="000000"/>
          <w:sz w:val="32"/>
          <w:szCs w:val="32"/>
          <w:u w:val="none"/>
        </w:rPr>
        <w:t>http://jwc.whpu.edu.cn</w:t>
      </w:r>
      <w:r>
        <w:rPr>
          <w:rFonts w:hint="default" w:ascii="fangsong_gb2312" w:hAnsi="fangsong_gb2312" w:eastAsia="fangsong_gb2312" w:cs="fangsong_gb2312"/>
          <w:color w:val="000000"/>
          <w:sz w:val="32"/>
          <w:szCs w:val="32"/>
          <w:u w:val="single"/>
        </w:rPr>
        <w:fldChar w:fldCharType="end"/>
      </w:r>
    </w:p>
    <w:p>
      <w:pPr>
        <w:pStyle w:val="5"/>
        <w:keepNext w:val="0"/>
        <w:keepLines w:val="0"/>
        <w:widowControl/>
        <w:suppressLineNumbers w:val="0"/>
        <w:spacing w:line="500" w:lineRule="atLeast"/>
        <w:ind w:left="0" w:firstLine="640"/>
        <w:jc w:val="both"/>
      </w:pPr>
      <w:r>
        <w:rPr>
          <w:rFonts w:hint="default" w:ascii="fangsong_gb2312" w:hAnsi="fangsong_gb2312" w:eastAsia="fangsong_gb2312" w:cs="fangsong_gb2312"/>
          <w:sz w:val="32"/>
          <w:szCs w:val="32"/>
        </w:rPr>
        <w:t>咨询电话：027-83956229　18086520015</w:t>
      </w:r>
    </w:p>
    <w:p>
      <w:pPr>
        <w:pStyle w:val="5"/>
        <w:keepNext w:val="0"/>
        <w:keepLines w:val="0"/>
        <w:widowControl/>
        <w:suppressLineNumbers w:val="0"/>
        <w:spacing w:line="500" w:lineRule="atLeast"/>
        <w:ind w:left="0" w:firstLine="640"/>
        <w:jc w:val="both"/>
      </w:pPr>
      <w:r>
        <w:rPr>
          <w:rFonts w:hint="default" w:ascii="fangsong_gb2312" w:hAnsi="fangsong_gb2312" w:eastAsia="fangsong_gb2312" w:cs="fangsong_gb2312"/>
          <w:sz w:val="32"/>
          <w:szCs w:val="32"/>
        </w:rPr>
        <w:t>咨询时间：工作日 上午08:00-12:00</w:t>
      </w:r>
    </w:p>
    <w:p>
      <w:pPr>
        <w:pStyle w:val="5"/>
        <w:keepNext w:val="0"/>
        <w:keepLines w:val="0"/>
        <w:widowControl/>
        <w:suppressLineNumbers w:val="0"/>
        <w:spacing w:line="500" w:lineRule="atLeast"/>
        <w:ind w:left="0" w:firstLine="640"/>
        <w:jc w:val="both"/>
      </w:pPr>
      <w:r>
        <w:rPr>
          <w:rFonts w:ascii="fangsong_gb2312FONT-FAMILY : 仿宋" w:hAnsi="fangsong_gb2312FONT-FAMILY : 仿宋" w:eastAsia="fangsong_gb2312FONT-FAMILY : 仿宋" w:cs="fangsong_gb2312FONT-FAMILY : 仿宋"/>
          <w:sz w:val="32"/>
          <w:szCs w:val="32"/>
        </w:rPr>
        <w:t>                下午14:00-17:00</w:t>
      </w:r>
    </w:p>
    <w:p>
      <w:pPr>
        <w:pStyle w:val="5"/>
        <w:keepNext w:val="0"/>
        <w:keepLines w:val="0"/>
        <w:widowControl/>
        <w:suppressLineNumbers w:val="0"/>
        <w:spacing w:line="500" w:lineRule="atLeast"/>
        <w:ind w:left="0" w:firstLine="640"/>
        <w:jc w:val="both"/>
      </w:pPr>
      <w:r>
        <w:rPr>
          <w:rFonts w:hint="default" w:ascii="fangsong_gb2312" w:hAnsi="fangsong_gb2312" w:eastAsia="fangsong_gb2312" w:cs="fangsong_gb2312"/>
          <w:sz w:val="32"/>
          <w:szCs w:val="32"/>
        </w:rPr>
        <w:t>联系老师：王老师</w:t>
      </w:r>
    </w:p>
    <w:p>
      <w:pPr>
        <w:pStyle w:val="5"/>
        <w:keepNext w:val="0"/>
        <w:keepLines w:val="0"/>
        <w:widowControl/>
        <w:suppressLineNumbers w:val="0"/>
        <w:spacing w:line="500" w:lineRule="atLeast"/>
        <w:ind w:left="0" w:firstLine="640"/>
        <w:jc w:val="both"/>
      </w:pPr>
      <w:r>
        <w:rPr>
          <w:rFonts w:hint="default" w:ascii="fangsong_gb2312" w:hAnsi="fangsong_gb2312" w:eastAsia="fangsong_gb2312" w:cs="fangsong_gb2312"/>
          <w:sz w:val="32"/>
          <w:szCs w:val="32"/>
        </w:rPr>
        <w:t xml:space="preserve">投诉（举报）电话：027-83956179 </w:t>
      </w:r>
    </w:p>
    <w:p>
      <w:pPr>
        <w:pStyle w:val="5"/>
        <w:keepNext w:val="0"/>
        <w:keepLines w:val="0"/>
        <w:widowControl/>
        <w:suppressLineNumbers w:val="0"/>
        <w:spacing w:line="500" w:lineRule="atLeast"/>
        <w:ind w:left="0" w:firstLine="640"/>
        <w:jc w:val="both"/>
      </w:pPr>
      <w:r>
        <w:rPr>
          <w:rFonts w:hint="default" w:ascii="fangsong_gb2312" w:hAnsi="fangsong_gb2312" w:eastAsia="fangsong_gb2312" w:cs="fangsong_gb2312"/>
          <w:sz w:val="32"/>
          <w:szCs w:val="32"/>
        </w:rPr>
        <w:t>投诉（举报）邮箱：jwc@whpu.edu.cn</w:t>
      </w:r>
    </w:p>
    <w:p>
      <w:pPr>
        <w:pStyle w:val="5"/>
        <w:keepNext w:val="0"/>
        <w:keepLines w:val="0"/>
        <w:widowControl/>
        <w:suppressLineNumbers w:val="0"/>
        <w:spacing w:line="500" w:lineRule="atLeast"/>
        <w:ind w:left="0" w:firstLine="640"/>
        <w:jc w:val="both"/>
      </w:pPr>
      <w:r>
        <w:t> </w:t>
      </w:r>
    </w:p>
    <w:p>
      <w:pPr>
        <w:pStyle w:val="5"/>
        <w:keepNext w:val="0"/>
        <w:keepLines w:val="0"/>
        <w:widowControl/>
        <w:suppressLineNumbers w:val="0"/>
        <w:spacing w:line="500" w:lineRule="atLeast"/>
        <w:jc w:val="both"/>
      </w:pPr>
      <w:r>
        <w:rPr>
          <w:rFonts w:hint="default" w:ascii="仿宋_GB2312" w:hAnsi="宋体" w:eastAsia="仿宋_GB2312" w:cs="仿宋_GB2312"/>
          <w:sz w:val="32"/>
          <w:szCs w:val="32"/>
        </w:rPr>
        <w:t>附件:  1.武汉轻工大学2021年普通专升本各专业招生计划</w:t>
      </w:r>
    </w:p>
    <w:p>
      <w:pPr>
        <w:pStyle w:val="5"/>
        <w:keepNext w:val="0"/>
        <w:keepLines w:val="0"/>
        <w:widowControl/>
        <w:suppressLineNumbers w:val="0"/>
        <w:spacing w:line="500" w:lineRule="atLeast"/>
        <w:ind w:left="1159"/>
        <w:jc w:val="both"/>
      </w:pPr>
      <w:r>
        <w:rPr>
          <w:rFonts w:hint="default" w:ascii="仿宋_GB2312" w:hAnsi="宋体" w:eastAsia="仿宋_GB2312" w:cs="仿宋_GB2312"/>
          <w:sz w:val="32"/>
          <w:szCs w:val="32"/>
        </w:rPr>
        <w:t>2.武汉轻工大学2021年普通专升本招生专业对高职（专科）专业的报考范围要求</w:t>
      </w:r>
    </w:p>
    <w:p>
      <w:pPr>
        <w:pStyle w:val="5"/>
        <w:keepNext w:val="0"/>
        <w:keepLines w:val="0"/>
        <w:widowControl/>
        <w:suppressLineNumbers w:val="0"/>
        <w:spacing w:line="500" w:lineRule="atLeast"/>
        <w:ind w:left="1479" w:hanging="320"/>
        <w:jc w:val="both"/>
      </w:pPr>
      <w:r>
        <w:rPr>
          <w:rFonts w:hint="default" w:ascii="仿宋_GB2312" w:hAnsi="宋体" w:eastAsia="仿宋_GB2312" w:cs="仿宋_GB2312"/>
          <w:sz w:val="32"/>
          <w:szCs w:val="32"/>
        </w:rPr>
        <w:t>3.武汉轻工大学2021年普通专升本考试各专业考试科目、参考教材目录</w:t>
      </w:r>
    </w:p>
    <w:p>
      <w:pPr>
        <w:pStyle w:val="5"/>
        <w:keepNext w:val="0"/>
        <w:keepLines w:val="0"/>
        <w:widowControl/>
        <w:suppressLineNumbers w:val="0"/>
        <w:spacing w:line="500" w:lineRule="atLeast"/>
        <w:ind w:left="840" w:firstLine="320"/>
        <w:jc w:val="both"/>
      </w:pPr>
      <w:r>
        <w:rPr>
          <w:rFonts w:hint="default" w:ascii="仿宋_GB2312" w:hAnsi="宋体" w:eastAsia="仿宋_GB2312" w:cs="仿宋_GB2312"/>
          <w:sz w:val="32"/>
          <w:szCs w:val="32"/>
        </w:rPr>
        <w:t>4.2021年普通专升本《大学英语》考试大纲</w:t>
      </w:r>
    </w:p>
    <w:p>
      <w:pPr>
        <w:pStyle w:val="5"/>
        <w:keepNext w:val="0"/>
        <w:keepLines w:val="0"/>
        <w:widowControl/>
        <w:suppressLineNumbers w:val="0"/>
        <w:spacing w:line="500" w:lineRule="atLeast"/>
        <w:ind w:left="840" w:firstLine="320"/>
        <w:jc w:val="both"/>
      </w:pPr>
      <w:r>
        <w:rPr>
          <w:rFonts w:hint="default" w:ascii="仿宋_GB2312" w:hAnsi="宋体" w:eastAsia="仿宋_GB2312" w:cs="仿宋_GB2312"/>
          <w:sz w:val="32"/>
          <w:szCs w:val="32"/>
        </w:rPr>
        <w:t>5.“教育部学籍在线验证报告”申请方法步骤</w:t>
      </w:r>
    </w:p>
    <w:p>
      <w:pPr>
        <w:pStyle w:val="5"/>
        <w:keepNext w:val="0"/>
        <w:keepLines w:val="0"/>
        <w:widowControl/>
        <w:suppressLineNumbers w:val="0"/>
        <w:spacing w:line="600" w:lineRule="auto"/>
        <w:jc w:val="left"/>
      </w:pPr>
      <w:r>
        <w:rPr>
          <w:rFonts w:hint="default" w:ascii="仿宋_GB2312" w:hAnsi="宋体" w:eastAsia="仿宋_GB2312" w:cs="仿宋_GB2312"/>
          <w:sz w:val="32"/>
          <w:szCs w:val="32"/>
        </w:rPr>
        <w:br w:type="page"/>
      </w:r>
      <w:r>
        <w:rPr>
          <w:rFonts w:hint="default" w:ascii="仿宋_GB2312" w:hAnsi="宋体" w:eastAsia="仿宋_GB2312" w:cs="仿宋_GB2312"/>
          <w:sz w:val="32"/>
          <w:szCs w:val="32"/>
        </w:rPr>
        <w:t>附件1</w:t>
      </w:r>
    </w:p>
    <w:p>
      <w:pPr>
        <w:pStyle w:val="5"/>
        <w:keepNext w:val="0"/>
        <w:keepLines w:val="0"/>
        <w:widowControl/>
        <w:suppressLineNumbers w:val="0"/>
        <w:spacing w:line="720" w:lineRule="auto"/>
        <w:jc w:val="center"/>
      </w:pPr>
      <w:r>
        <w:rPr>
          <w:rStyle w:val="8"/>
          <w:rFonts w:hint="default" w:ascii="仿宋_GB2312" w:hAnsi="宋体" w:eastAsia="仿宋_GB2312" w:cs="仿宋_GB2312"/>
          <w:sz w:val="36"/>
          <w:szCs w:val="36"/>
        </w:rPr>
        <w:t>武汉轻工大学2021年普通专升本各专业招生计划</w:t>
      </w:r>
    </w:p>
    <w:tbl>
      <w:tblPr>
        <w:tblW w:w="0" w:type="auto"/>
        <w:jc w:val="center"/>
        <w:shd w:val="clear"/>
        <w:tblLayout w:type="autofit"/>
        <w:tblCellMar>
          <w:top w:w="0" w:type="dxa"/>
          <w:left w:w="0" w:type="dxa"/>
          <w:bottom w:w="0" w:type="dxa"/>
          <w:right w:w="0" w:type="dxa"/>
        </w:tblCellMar>
      </w:tblPr>
      <w:tblGrid>
        <w:gridCol w:w="2234"/>
        <w:gridCol w:w="1001"/>
        <w:gridCol w:w="898"/>
        <w:gridCol w:w="978"/>
        <w:gridCol w:w="995"/>
        <w:gridCol w:w="869"/>
        <w:gridCol w:w="774"/>
        <w:gridCol w:w="773"/>
      </w:tblGrid>
      <w:tr>
        <w:tblPrEx>
          <w:shd w:val="clear"/>
          <w:tblCellMar>
            <w:top w:w="0" w:type="dxa"/>
            <w:left w:w="0" w:type="dxa"/>
            <w:bottom w:w="0" w:type="dxa"/>
            <w:right w:w="0" w:type="dxa"/>
          </w:tblCellMar>
        </w:tblPrEx>
        <w:trPr>
          <w:trHeight w:val="737" w:hRule="atLeast"/>
          <w:jc w:val="center"/>
        </w:trPr>
        <w:tc>
          <w:tcPr>
            <w:tcW w:w="2621"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招生专业名称</w:t>
            </w:r>
          </w:p>
        </w:tc>
        <w:tc>
          <w:tcPr>
            <w:tcW w:w="1034"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招生专业代码</w:t>
            </w:r>
          </w:p>
        </w:tc>
        <w:tc>
          <w:tcPr>
            <w:tcW w:w="2103"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招生计划数（人）</w:t>
            </w:r>
          </w:p>
        </w:tc>
        <w:tc>
          <w:tcPr>
            <w:tcW w:w="1083"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考生专科</w:t>
            </w:r>
          </w:p>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专业要求</w:t>
            </w:r>
          </w:p>
        </w:tc>
        <w:tc>
          <w:tcPr>
            <w:tcW w:w="968"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学位</w:t>
            </w:r>
          </w:p>
        </w:tc>
        <w:tc>
          <w:tcPr>
            <w:tcW w:w="1705"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收费标准</w:t>
            </w:r>
          </w:p>
        </w:tc>
      </w:tr>
      <w:tr>
        <w:tblPrEx>
          <w:tblCellMar>
            <w:top w:w="0" w:type="dxa"/>
            <w:left w:w="0" w:type="dxa"/>
            <w:bottom w:w="0" w:type="dxa"/>
            <w:right w:w="0" w:type="dxa"/>
          </w:tblCellMar>
        </w:tblPrEx>
        <w:trPr>
          <w:trHeight w:val="737" w:hRule="atLeast"/>
          <w:jc w:val="center"/>
        </w:trPr>
        <w:tc>
          <w:tcPr>
            <w:tcW w:w="2621"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jc w:val="center"/>
              <w:rPr>
                <w:rFonts w:hint="eastAsia" w:ascii="宋体" w:hAnsi="宋体" w:eastAsia="宋体" w:cs="宋体"/>
                <w:sz w:val="18"/>
                <w:szCs w:val="18"/>
              </w:rPr>
            </w:pPr>
          </w:p>
        </w:tc>
        <w:tc>
          <w:tcPr>
            <w:tcW w:w="103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jc w:val="center"/>
              <w:rPr>
                <w:rFonts w:hint="eastAsia" w:ascii="宋体" w:hAnsi="宋体" w:eastAsia="宋体" w:cs="宋体"/>
                <w:sz w:val="18"/>
                <w:szCs w:val="18"/>
              </w:rPr>
            </w:pP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普通</w:t>
            </w:r>
          </w:p>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考生</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专项计划</w:t>
            </w:r>
          </w:p>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考生</w:t>
            </w:r>
          </w:p>
        </w:tc>
        <w:tc>
          <w:tcPr>
            <w:tcW w:w="108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jc w:val="center"/>
              <w:rPr>
                <w:rFonts w:hint="eastAsia" w:ascii="宋体" w:hAnsi="宋体" w:eastAsia="宋体" w:cs="宋体"/>
                <w:sz w:val="18"/>
                <w:szCs w:val="18"/>
              </w:rPr>
            </w:pPr>
          </w:p>
        </w:tc>
        <w:tc>
          <w:tcPr>
            <w:tcW w:w="968"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jc w:val="center"/>
              <w:rPr>
                <w:rFonts w:hint="eastAsia" w:ascii="宋体" w:hAnsi="宋体" w:eastAsia="宋体" w:cs="宋体"/>
                <w:sz w:val="18"/>
                <w:szCs w:val="18"/>
              </w:rPr>
            </w:pPr>
          </w:p>
        </w:tc>
        <w:tc>
          <w:tcPr>
            <w:tcW w:w="85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wordWrap w:val="0"/>
              <w:spacing w:line="240" w:lineRule="auto"/>
              <w:jc w:val="center"/>
            </w:pPr>
            <w:r>
              <w:rPr>
                <w:rStyle w:val="8"/>
                <w:rFonts w:hint="eastAsia" w:ascii="宋体" w:hAnsi="宋体" w:eastAsia="宋体" w:cs="宋体"/>
                <w:sz w:val="18"/>
                <w:szCs w:val="18"/>
                <w:bdr w:val="none" w:color="auto" w:sz="0" w:space="0"/>
              </w:rPr>
              <w:t>学费</w:t>
            </w:r>
            <w:r>
              <w:rPr>
                <w:rFonts w:hint="eastAsia" w:ascii="宋体" w:hAnsi="宋体" w:eastAsia="宋体" w:cs="宋体"/>
                <w:sz w:val="18"/>
                <w:szCs w:val="18"/>
                <w:bdr w:val="none" w:color="auto" w:sz="0" w:space="0"/>
              </w:rPr>
              <w:t>元/年</w:t>
            </w:r>
          </w:p>
        </w:tc>
        <w:tc>
          <w:tcPr>
            <w:tcW w:w="852"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住宿费</w:t>
            </w:r>
          </w:p>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元/年</w:t>
            </w: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国际经济与贸易</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020401</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52</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8</w:t>
            </w:r>
          </w:p>
        </w:tc>
        <w:tc>
          <w:tcPr>
            <w:tcW w:w="1083"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详见</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《武汉轻工大学2021年普通专升本招生专业对高职（专科）专业的报考范围要求》</w:t>
            </w: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经济学</w:t>
            </w:r>
          </w:p>
        </w:tc>
        <w:tc>
          <w:tcPr>
            <w:tcW w:w="853"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与</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二</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〇</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二</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一</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年</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同</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一</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专</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业</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全</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日</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制</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普</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通</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本</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科</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学</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生</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收</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费</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标</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准</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一</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致</w:t>
            </w:r>
          </w:p>
        </w:tc>
        <w:tc>
          <w:tcPr>
            <w:tcW w:w="852"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按</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省</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物</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价</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管</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理</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部</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门</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批</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复</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的</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标</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准</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执</w:t>
            </w:r>
          </w:p>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行</w:t>
            </w: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英语</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050201</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43</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7</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文学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生物技术</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071002</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26</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4</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理学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机械设计制造及其自动化</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080202</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77</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13</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工学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自动化</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080801</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26</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4</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工学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土木工程</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081001</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52</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8</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工学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康复治疗学</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101005</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52</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8</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理学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护理学</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101101</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26</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4</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理学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工商管理</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120201K</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52</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8</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管理学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市场营销</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120202</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77</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13</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管理学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文化产业管理</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120210</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26</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4</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管理学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旅游管理</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120901K</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52</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8</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管理学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视觉传达设计</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130502</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9</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艺术学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环境设计</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130503</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26</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4</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艺术学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262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产品设计</w:t>
            </w:r>
          </w:p>
        </w:tc>
        <w:tc>
          <w:tcPr>
            <w:tcW w:w="1034"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130504</w:t>
            </w:r>
          </w:p>
        </w:tc>
        <w:tc>
          <w:tcPr>
            <w:tcW w:w="1003"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9</w:t>
            </w:r>
          </w:p>
        </w:tc>
        <w:tc>
          <w:tcPr>
            <w:tcW w:w="1100"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1</w:t>
            </w:r>
          </w:p>
        </w:tc>
        <w:tc>
          <w:tcPr>
            <w:tcW w:w="10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968"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Fonts w:hint="eastAsia" w:ascii="宋体" w:hAnsi="宋体" w:eastAsia="宋体" w:cs="宋体"/>
                <w:sz w:val="18"/>
                <w:szCs w:val="18"/>
                <w:bdr w:val="none" w:color="auto" w:sz="0" w:space="0"/>
              </w:rPr>
              <w:t>艺术学</w:t>
            </w:r>
          </w:p>
        </w:tc>
        <w:tc>
          <w:tcPr>
            <w:tcW w:w="85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85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CellMar>
            <w:top w:w="0" w:type="dxa"/>
            <w:left w:w="0" w:type="dxa"/>
            <w:bottom w:w="0" w:type="dxa"/>
            <w:right w:w="0" w:type="dxa"/>
          </w:tblCellMar>
        </w:tblPrEx>
        <w:trPr>
          <w:trHeight w:val="567" w:hRule="atLeast"/>
          <w:jc w:val="center"/>
        </w:trPr>
        <w:tc>
          <w:tcPr>
            <w:tcW w:w="3655"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Style w:val="8"/>
                <w:rFonts w:hint="eastAsia" w:ascii="宋体" w:hAnsi="宋体" w:eastAsia="宋体" w:cs="宋体"/>
                <w:sz w:val="18"/>
                <w:szCs w:val="18"/>
                <w:bdr w:val="none" w:color="auto" w:sz="0" w:space="0"/>
              </w:rPr>
              <w:t>合计</w:t>
            </w:r>
          </w:p>
        </w:tc>
        <w:tc>
          <w:tcPr>
            <w:tcW w:w="2103"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Style w:val="8"/>
                <w:rFonts w:hint="eastAsia" w:ascii="宋体" w:hAnsi="宋体" w:eastAsia="宋体" w:cs="宋体"/>
                <w:sz w:val="18"/>
                <w:szCs w:val="18"/>
                <w:bdr w:val="none" w:color="auto" w:sz="0" w:space="0"/>
              </w:rPr>
              <w:t>700</w:t>
            </w:r>
          </w:p>
        </w:tc>
        <w:tc>
          <w:tcPr>
            <w:tcW w:w="205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Style w:val="8"/>
                <w:rFonts w:hint="eastAsia" w:ascii="宋体" w:hAnsi="宋体" w:eastAsia="宋体" w:cs="宋体"/>
                <w:sz w:val="18"/>
                <w:szCs w:val="18"/>
                <w:bdr w:val="none" w:color="auto" w:sz="0" w:space="0"/>
              </w:rPr>
              <w:t>/</w:t>
            </w:r>
          </w:p>
        </w:tc>
        <w:tc>
          <w:tcPr>
            <w:tcW w:w="170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240" w:lineRule="auto"/>
            </w:pPr>
            <w:r>
              <w:rPr>
                <w:rStyle w:val="8"/>
                <w:rFonts w:hint="eastAsia" w:ascii="宋体" w:hAnsi="宋体" w:eastAsia="宋体" w:cs="宋体"/>
                <w:sz w:val="18"/>
                <w:szCs w:val="18"/>
                <w:bdr w:val="none" w:color="auto" w:sz="0" w:space="0"/>
              </w:rPr>
              <w:t>/</w:t>
            </w:r>
          </w:p>
        </w:tc>
      </w:tr>
    </w:tbl>
    <w:p>
      <w:pPr>
        <w:pStyle w:val="5"/>
        <w:keepNext w:val="0"/>
        <w:keepLines w:val="0"/>
        <w:widowControl/>
        <w:suppressLineNumbers w:val="0"/>
        <w:jc w:val="both"/>
      </w:pPr>
      <w:r>
        <w:rPr>
          <w:rFonts w:ascii="Calibri" w:hAnsi="Calibri" w:eastAsia="宋体" w:cs="Calibri"/>
          <w:sz w:val="21"/>
          <w:szCs w:val="21"/>
        </w:rPr>
        <w:br w:type="page"/>
      </w:r>
      <w:r>
        <w:rPr>
          <w:rFonts w:hint="default" w:ascii="仿宋_GB2312" w:hAnsi="宋体" w:eastAsia="仿宋_GB2312" w:cs="仿宋_GB2312"/>
          <w:sz w:val="32"/>
          <w:szCs w:val="32"/>
        </w:rPr>
        <w:t>附件2</w:t>
      </w:r>
    </w:p>
    <w:p>
      <w:pPr>
        <w:pStyle w:val="5"/>
        <w:keepNext w:val="0"/>
        <w:keepLines w:val="0"/>
        <w:widowControl/>
        <w:suppressLineNumbers w:val="0"/>
        <w:spacing w:line="360" w:lineRule="auto"/>
        <w:jc w:val="center"/>
      </w:pPr>
      <w:r>
        <w:rPr>
          <w:rStyle w:val="8"/>
          <w:rFonts w:hint="default" w:ascii="仿宋_GB2312" w:hAnsi="宋体" w:eastAsia="仿宋_GB2312" w:cs="仿宋_GB2312"/>
          <w:sz w:val="36"/>
          <w:szCs w:val="36"/>
        </w:rPr>
        <w:t>武汉轻工大学2021年普通专升本招生专业</w:t>
      </w:r>
    </w:p>
    <w:p>
      <w:pPr>
        <w:pStyle w:val="5"/>
        <w:keepNext w:val="0"/>
        <w:keepLines w:val="0"/>
        <w:widowControl/>
        <w:suppressLineNumbers w:val="0"/>
        <w:spacing w:line="360" w:lineRule="auto"/>
        <w:jc w:val="center"/>
      </w:pPr>
      <w:r>
        <w:rPr>
          <w:rStyle w:val="8"/>
          <w:rFonts w:hint="default" w:ascii="仿宋_GB2312" w:hAnsi="宋体" w:eastAsia="仿宋_GB2312" w:cs="仿宋_GB2312"/>
          <w:sz w:val="36"/>
          <w:szCs w:val="36"/>
        </w:rPr>
        <w:t>对高职（专科）专业的报考范围要求</w:t>
      </w:r>
    </w:p>
    <w:tbl>
      <w:tblPr>
        <w:tblW w:w="94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528"/>
        <w:gridCol w:w="69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2528" w:type="dxa"/>
            <w:tcBorders>
              <w:top w:val="single" w:color="000000" w:sz="8" w:space="0"/>
              <w:left w:val="single" w:color="000000" w:sz="8" w:space="0"/>
              <w:bottom w:val="single" w:color="000000" w:sz="8" w:space="0"/>
              <w:right w:val="single" w:color="000000" w:sz="8" w:space="0"/>
            </w:tcBorders>
            <w:shd w:val="clear"/>
            <w:tcMar>
              <w:top w:w="20" w:type="dxa"/>
              <w:left w:w="20" w:type="dxa"/>
              <w:right w:w="20" w:type="dxa"/>
            </w:tcMar>
            <w:vAlign w:val="center"/>
          </w:tcPr>
          <w:p>
            <w:pPr>
              <w:pStyle w:val="5"/>
              <w:keepNext w:val="0"/>
              <w:keepLines w:val="0"/>
              <w:widowControl/>
              <w:suppressLineNumbers w:val="0"/>
              <w:spacing w:line="480" w:lineRule="auto"/>
              <w:jc w:val="center"/>
            </w:pPr>
            <w:r>
              <w:rPr>
                <w:rStyle w:val="8"/>
                <w:rFonts w:hint="eastAsia" w:ascii="宋体" w:hAnsi="宋体" w:eastAsia="宋体" w:cs="宋体"/>
                <w:sz w:val="24"/>
                <w:szCs w:val="24"/>
                <w:bdr w:val="none" w:color="auto" w:sz="0" w:space="0"/>
              </w:rPr>
              <w:t>本科招生专业</w:t>
            </w:r>
          </w:p>
        </w:tc>
        <w:tc>
          <w:tcPr>
            <w:tcW w:w="6912" w:type="dxa"/>
            <w:tcBorders>
              <w:top w:val="single" w:color="000000" w:sz="8" w:space="0"/>
              <w:left w:val="nil"/>
              <w:bottom w:val="single" w:color="000000" w:sz="8" w:space="0"/>
              <w:right w:val="single" w:color="000000" w:sz="8" w:space="0"/>
            </w:tcBorders>
            <w:shd w:val="clear"/>
            <w:vAlign w:val="center"/>
          </w:tcPr>
          <w:p>
            <w:pPr>
              <w:pStyle w:val="5"/>
              <w:keepNext w:val="0"/>
              <w:keepLines w:val="0"/>
              <w:widowControl/>
              <w:suppressLineNumbers w:val="0"/>
              <w:spacing w:line="480" w:lineRule="auto"/>
              <w:jc w:val="center"/>
            </w:pPr>
            <w:r>
              <w:rPr>
                <w:rStyle w:val="8"/>
                <w:rFonts w:hint="eastAsia" w:ascii="宋体" w:hAnsi="宋体" w:eastAsia="宋体" w:cs="宋体"/>
                <w:sz w:val="24"/>
                <w:szCs w:val="24"/>
                <w:bdr w:val="none" w:color="auto" w:sz="0" w:space="0"/>
              </w:rPr>
              <w:t>高职（专科）专业的报考范围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087"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土木工程</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建筑工程技术，建筑智能化工程技术，建筑钢结构工程技术，道路桥梁工程技术，道路运输与路政管理，道路养护与管理，高速铁道工程技术，智能交通技术运用，市政工程技术，园林工程技术，古建筑工程技术，建设工程管理，建设工程监理，建设项目信息化管理，建筑材料检测技术，土木工程检测技术，建筑设备工程技术，建筑电气工程技术，建筑动画与模型制作，岩土工程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3"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护理学</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护理，助产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67"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康复治疗学</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康复治疗技术，临床医学，针灸推拿，中医骨伤，中医学，康复工程技术，老年保健与管理，体育保健与康复，中医养生保健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097"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生物技术</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化工生物技术，酿酒技术，农业生物技术，生物教育，生物质能应用技术，食品生物技术，食品营养与检测，现代农业技术，药品生物技术，医学生物技术，生物制药技术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098"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20" w:lineRule="atLeast"/>
              <w:jc w:val="center"/>
            </w:pPr>
            <w:r>
              <w:rPr>
                <w:rFonts w:hint="eastAsia" w:ascii="宋体" w:hAnsi="宋体" w:eastAsia="宋体" w:cs="宋体"/>
                <w:sz w:val="18"/>
                <w:szCs w:val="18"/>
                <w:bdr w:val="none" w:color="auto" w:sz="0" w:space="0"/>
              </w:rPr>
              <w:t>自动化</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20" w:lineRule="atLeast"/>
              <w:ind w:left="218" w:right="189"/>
              <w:jc w:val="both"/>
            </w:pPr>
            <w:r>
              <w:rPr>
                <w:rFonts w:hint="eastAsia" w:ascii="宋体" w:hAnsi="宋体" w:eastAsia="宋体" w:cs="宋体"/>
                <w:sz w:val="18"/>
                <w:szCs w:val="18"/>
              </w:rPr>
              <w:t>电力系统自动化技术，电气自动化技术，电梯工程技术，工业机器人技术，光电制造与应用技术，机电设备维修与管理，机电一体化技术，数控设备应用与维护，应用电子技术，制冷与空调技术，自动化生产设备应用，智能控制技术，城市轨道交通车辆技术，城市轨道交通工程技术，城市轨道交通机电技术，新能源汽车技术，电力系统继电保护与自动化技术，飞机机电设备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110"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20" w:lineRule="atLeast"/>
              <w:jc w:val="center"/>
            </w:pPr>
            <w:r>
              <w:rPr>
                <w:rFonts w:hint="eastAsia" w:ascii="宋体" w:hAnsi="宋体" w:eastAsia="宋体" w:cs="宋体"/>
                <w:sz w:val="18"/>
                <w:szCs w:val="18"/>
                <w:bdr w:val="none" w:color="auto" w:sz="0" w:space="0"/>
              </w:rPr>
              <w:t>机械设计制造及其自动化</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20" w:lineRule="atLeast"/>
              <w:ind w:left="218" w:right="189"/>
              <w:jc w:val="both"/>
            </w:pPr>
            <w:r>
              <w:rPr>
                <w:rFonts w:hint="eastAsia" w:ascii="宋体" w:hAnsi="宋体" w:eastAsia="宋体" w:cs="宋体"/>
                <w:sz w:val="18"/>
                <w:szCs w:val="18"/>
              </w:rPr>
              <w:t>材料成型与控制技术，材料工程技术，船舶电气工程技术，船舶动力工程技术，船舶工程技术，船舶机械工程技术，船舶舾装工程技术，电机与电器技术，工业设计，高分子材料工程技术，高分子材料加工技术，海洋工程技术，焊接技术与自动化，机械设计与制造   ，机械制造与自动化，机械装备制造技术，金属材料与热处理技术，模具设计与制造，内燃机制造与维修，汽车电子技术，汽车检测与维修技术，汽车制造与装配技术，数控技术，特种加工技术，铁道机车车辆制造与维护，铁道施工和养路机械制造与维护，铁道通信信号设备制造与维护，新能源汽车技术，游艇设计与制造，工程机械运用技术，汽车运用与维修技术，汽车车身维修技术，新能源汽车运用与维修，城市轨道交通车辆技术，城市轨道交通工程技术，城市轨道交通机电技术，电梯工程技术，飞机机电设备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2365"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20" w:lineRule="atLeast"/>
              <w:jc w:val="center"/>
            </w:pPr>
            <w:r>
              <w:rPr>
                <w:rFonts w:hint="eastAsia" w:ascii="宋体" w:hAnsi="宋体" w:eastAsia="宋体" w:cs="宋体"/>
                <w:sz w:val="18"/>
                <w:szCs w:val="18"/>
                <w:bdr w:val="none" w:color="auto" w:sz="0" w:space="0"/>
              </w:rPr>
              <w:t>市场营销</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20" w:lineRule="atLeast"/>
              <w:ind w:left="218" w:right="189"/>
              <w:jc w:val="both"/>
            </w:pPr>
            <w:r>
              <w:rPr>
                <w:rFonts w:hint="eastAsia" w:ascii="宋体" w:hAnsi="宋体" w:eastAsia="宋体" w:cs="宋体"/>
                <w:sz w:val="18"/>
                <w:szCs w:val="18"/>
              </w:rPr>
              <w:t>税务，资产评估与管理，金融管理，国际金融，证券与期货，保险，投资与理财，互联网金融，财务管理，会计，审计，会计信息管理，信息统计与分析，统计与会计核算，国际贸易实务，国际经济与贸易，国际商务，经济信息管理，报关与国际货运，工商企业管理，商务管理，连锁经营管理，品牌代理经营，市场营销，汽车营销与服务，茶艺与茶叶营销，电子商务，移动商务，网络营销，物流工程技术，物流信息技术，物流管理，冷链物流技术与管理，采购与供应管理，化妆品经营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400"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20" w:lineRule="atLeast"/>
              <w:jc w:val="center"/>
            </w:pPr>
            <w:r>
              <w:rPr>
                <w:rFonts w:hint="eastAsia" w:ascii="宋体" w:hAnsi="宋体" w:eastAsia="宋体" w:cs="宋体"/>
                <w:sz w:val="18"/>
                <w:szCs w:val="18"/>
                <w:bdr w:val="none" w:color="auto" w:sz="0" w:space="0"/>
              </w:rPr>
              <w:t>工商管理</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20" w:lineRule="atLeast"/>
              <w:ind w:left="218" w:right="189"/>
              <w:jc w:val="both"/>
            </w:pPr>
            <w:r>
              <w:rPr>
                <w:rFonts w:hint="eastAsia" w:ascii="宋体" w:hAnsi="宋体" w:eastAsia="宋体" w:cs="宋体"/>
                <w:sz w:val="18"/>
                <w:szCs w:val="18"/>
              </w:rPr>
              <w:t>税务，资产评估与管理，金融管理，国际金融，证券与期货，保险，投资与理财，互联网金融，财务管理，会计，审计，会计信息管理，信息统计与分析，统计与会计核算，国际贸易实务，国际经济与贸易，国际商务，经济信息管理，报关与国际货运，工商企业管理，商务管理，连锁经营管理，品牌代理经营，市场营销，汽车营销与服务，茶艺与茶叶营销，电子商务，移动商务，网络营销，物流工程技术，物流信息技术，物流管理，冷链物流技术与管理，采购与供应管理，化妆品经营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428"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ind w:left="0" w:firstLine="420"/>
              <w:jc w:val="center"/>
            </w:pPr>
            <w:r>
              <w:rPr>
                <w:rFonts w:hint="eastAsia" w:ascii="宋体" w:hAnsi="宋体" w:eastAsia="宋体" w:cs="宋体"/>
                <w:sz w:val="24"/>
                <w:szCs w:val="24"/>
                <w:bdr w:val="none" w:color="auto" w:sz="0" w:space="0"/>
              </w:rPr>
              <w:t>旅游管理</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旅游管理，导游，旅行社经营管理，景区开发与管理，酒店管理，休闲服务与管理，烹调工艺与营养，中西面点工艺，西餐工艺，会展策划与管理，高速铁路客运乘务，国际邮轮乘务管理，森林生态旅游，铁道交通运营管理，城市轨道交通运营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45"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国际经济与贸易</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保险，报关与国际货运，电子商务，国际金融，国际经济与贸易，国际贸易实务，国际商务，互联网金融，建筑经济管理，金融管理，经济信息管理，投资与理财，网络营销，移动商务，证券与期货，服务外包，媒体营销，政府采购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18"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英语</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商务英语， 应用英语， 旅游英语， 英语教育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17"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文化产业管理</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版面编辑与校对，包装策划与设计，宝玉石鉴定与加工，报关与国际货运，表演艺术，播音与主持，茶艺与茶叶营销，出版商务，出版信息管理，传播与策划，导游，电子商务，电子商务技术，动漫设计，动漫制作技术，法律事务，法律文秘，服装表演，工商企业管理，公共关系，公共事务管理，公共文化服务与管理，广播电视技术，广播影视节目制作，广告设计与制作，国际金融，国际经济与贸易，国际商务，汉语，行政管理，互联网金融，会展策划与管理，婚庆服务与管理，经济信息管理，景区开发与管理，酒店管理，冷链物流技术与管理，历史教育，连锁经营管理，旅行社经营管理，旅游管理，旅游英语，人力资源管理，商务管理，商务数据分析与应用，社会工作，社会体育，社区管理与服务，市场营销，体育运营与管理，网络新闻与传播，网络营销，文秘，文秘速录，文物修复与保护，舞蹈编导，舞蹈教育，戏剧影视表演，戏曲表演，新闻采编与制作，信息安全与管理，移动商务，影视编导，影视多媒体技术，语文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2214"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视觉传达设计</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产品艺术设计，动漫设计，风景园林设计，服装设计与工艺，服装与服饰设计，工艺美术品设计，广告设计与制作，环境艺术设计，家具艺术设计，建筑动画与模型制作，建筑设计，建筑室内设计，建筑装饰工程技术，人物形象设计，摄影与摄像艺术，视觉传播设计与制作，室内艺术设计，首饰设计与工艺，数字媒体艺术设计，文物修复与保护，艺术设计，影视动画，游戏设计，展示艺术设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214"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环境设计</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产品艺术设计，动漫设计，风景园林设计，服装设计与工艺，服装与服饰设计，工艺美术品设计，广告设计与制作，环境艺术设计，家具艺术设计，建筑动画与模型制作，建筑设计，建筑室内设计，建筑装饰工程技术，人物形象设计，摄影与摄像艺术，视觉传播设计与制作，室内艺术设计，首饰设计与工艺，数字媒体艺术设计，文物修复与保护，艺术设计，影视动画，游戏设计，展示艺术设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214" w:hRule="atLeast"/>
        </w:trPr>
        <w:tc>
          <w:tcPr>
            <w:tcW w:w="2528" w:type="dxa"/>
            <w:tcBorders>
              <w:top w:val="nil"/>
              <w:left w:val="single" w:color="000000" w:sz="8" w:space="0"/>
              <w:bottom w:val="single" w:color="000000" w:sz="8" w:space="0"/>
              <w:right w:val="single" w:color="000000" w:sz="8" w:space="0"/>
            </w:tcBorders>
            <w:shd w:val="clear"/>
            <w:noWrap/>
            <w:tcMar>
              <w:top w:w="20" w:type="dxa"/>
              <w:left w:w="20" w:type="dxa"/>
              <w:right w:w="20" w:type="dxa"/>
            </w:tcMar>
            <w:vAlign w:val="center"/>
          </w:tcPr>
          <w:p>
            <w:pPr>
              <w:pStyle w:val="5"/>
              <w:keepNext w:val="0"/>
              <w:keepLines w:val="0"/>
              <w:widowControl/>
              <w:suppressLineNumbers w:val="0"/>
              <w:spacing w:line="330" w:lineRule="atLeast"/>
              <w:jc w:val="center"/>
            </w:pPr>
            <w:r>
              <w:rPr>
                <w:rFonts w:hint="eastAsia" w:ascii="宋体" w:hAnsi="宋体" w:eastAsia="宋体" w:cs="宋体"/>
                <w:sz w:val="18"/>
                <w:szCs w:val="18"/>
                <w:bdr w:val="none" w:color="auto" w:sz="0" w:space="0"/>
              </w:rPr>
              <w:t>产品设计</w:t>
            </w:r>
          </w:p>
        </w:tc>
        <w:tc>
          <w:tcPr>
            <w:tcW w:w="6912" w:type="dxa"/>
            <w:tcBorders>
              <w:top w:val="nil"/>
              <w:left w:val="nil"/>
              <w:bottom w:val="single" w:color="000000" w:sz="8" w:space="0"/>
              <w:right w:val="single" w:color="000000" w:sz="8" w:space="0"/>
            </w:tcBorders>
            <w:shd w:val="clear"/>
            <w:vAlign w:val="center"/>
          </w:tcPr>
          <w:p>
            <w:pPr>
              <w:pStyle w:val="5"/>
              <w:keepNext w:val="0"/>
              <w:keepLines w:val="0"/>
              <w:widowControl/>
              <w:suppressLineNumbers w:val="0"/>
              <w:spacing w:line="330" w:lineRule="atLeast"/>
              <w:ind w:left="218" w:right="189"/>
              <w:jc w:val="both"/>
            </w:pPr>
            <w:r>
              <w:rPr>
                <w:rFonts w:hint="eastAsia" w:ascii="宋体" w:hAnsi="宋体" w:eastAsia="宋体" w:cs="宋体"/>
                <w:sz w:val="18"/>
                <w:szCs w:val="18"/>
              </w:rPr>
              <w:t>产品艺术设计，动漫设计，风景园林设计，服装设计与工艺，服装与服饰设计，工艺美术品设计，广告设计与制作，环境艺术设计，家具艺术设计，建筑动画与模型制作，建筑设计，建筑室内设计，建筑装饰工程技术，人物形象设计，摄影与摄像艺术，视觉传播设计与制作，室内艺术设计，首饰设计与工艺，数字媒体艺术设计，文物修复与保护，艺术设计，影视动画，游戏设计，展示艺术设计</w:t>
            </w:r>
          </w:p>
        </w:tc>
      </w:tr>
    </w:tbl>
    <w:p>
      <w:pPr>
        <w:pStyle w:val="5"/>
        <w:keepNext w:val="0"/>
        <w:keepLines w:val="0"/>
        <w:widowControl/>
        <w:suppressLineNumbers w:val="0"/>
        <w:spacing w:line="400" w:lineRule="atLeast"/>
        <w:jc w:val="left"/>
      </w:pPr>
      <w:r>
        <w:rPr>
          <w:rFonts w:hint="default" w:ascii="Calibri" w:hAnsi="Calibri" w:eastAsia="宋体" w:cs="Calibri"/>
          <w:sz w:val="21"/>
          <w:szCs w:val="21"/>
        </w:rPr>
        <w:br w:type="page"/>
      </w:r>
      <w:r>
        <w:rPr>
          <w:rFonts w:hint="default" w:ascii="仿宋_GB2312" w:hAnsi="宋体" w:eastAsia="仿宋_GB2312" w:cs="仿宋_GB2312"/>
          <w:sz w:val="32"/>
          <w:szCs w:val="32"/>
        </w:rPr>
        <w:t>附件3</w:t>
      </w:r>
    </w:p>
    <w:p>
      <w:pPr>
        <w:pStyle w:val="5"/>
        <w:keepNext w:val="0"/>
        <w:keepLines w:val="0"/>
        <w:widowControl/>
        <w:suppressLineNumbers w:val="0"/>
        <w:spacing w:line="400" w:lineRule="atLeast"/>
        <w:jc w:val="center"/>
      </w:pPr>
      <w:r>
        <w:rPr>
          <w:rStyle w:val="8"/>
          <w:rFonts w:hint="default" w:ascii="仿宋_GB2312" w:hAnsi="宋体" w:eastAsia="仿宋_GB2312" w:cs="仿宋_GB2312"/>
          <w:sz w:val="36"/>
          <w:szCs w:val="36"/>
        </w:rPr>
        <w:t>武汉轻工大学2021年普通专升本考试</w:t>
      </w:r>
    </w:p>
    <w:p>
      <w:pPr>
        <w:pStyle w:val="5"/>
        <w:keepNext w:val="0"/>
        <w:keepLines w:val="0"/>
        <w:widowControl/>
        <w:suppressLineNumbers w:val="0"/>
        <w:spacing w:line="400" w:lineRule="atLeast"/>
        <w:jc w:val="center"/>
      </w:pPr>
      <w:r>
        <w:rPr>
          <w:rStyle w:val="8"/>
          <w:rFonts w:hint="default" w:ascii="仿宋_GB2312" w:hAnsi="宋体" w:eastAsia="仿宋_GB2312" w:cs="仿宋_GB2312"/>
          <w:sz w:val="36"/>
          <w:szCs w:val="36"/>
        </w:rPr>
        <w:t>各专业考试科目、参考教材目录</w:t>
      </w:r>
    </w:p>
    <w:p>
      <w:pPr>
        <w:pStyle w:val="5"/>
        <w:keepNext w:val="0"/>
        <w:keepLines w:val="0"/>
        <w:widowControl/>
        <w:suppressLineNumbers w:val="0"/>
        <w:spacing w:line="240" w:lineRule="auto"/>
        <w:jc w:val="left"/>
      </w:pPr>
      <w:r>
        <w:rPr>
          <w:rStyle w:val="8"/>
          <w:rFonts w:hint="eastAsia" w:ascii="宋体" w:hAnsi="宋体" w:eastAsia="宋体" w:cs="宋体"/>
          <w:sz w:val="28"/>
          <w:szCs w:val="28"/>
        </w:rPr>
        <w:t>1、各专业考试科目</w:t>
      </w:r>
    </w:p>
    <w:tbl>
      <w:tblPr>
        <w:tblW w:w="9897" w:type="dxa"/>
        <w:tblInd w:w="0" w:type="dxa"/>
        <w:shd w:val="clear"/>
        <w:tblLayout w:type="autofit"/>
        <w:tblCellMar>
          <w:top w:w="0" w:type="dxa"/>
          <w:left w:w="0" w:type="dxa"/>
          <w:bottom w:w="0" w:type="dxa"/>
          <w:right w:w="0" w:type="dxa"/>
        </w:tblCellMar>
      </w:tblPr>
      <w:tblGrid>
        <w:gridCol w:w="2594"/>
        <w:gridCol w:w="1119"/>
        <w:gridCol w:w="1140"/>
        <w:gridCol w:w="3675"/>
        <w:gridCol w:w="1369"/>
      </w:tblGrid>
      <w:tr>
        <w:tblPrEx>
          <w:shd w:val="clear"/>
          <w:tblCellMar>
            <w:top w:w="0" w:type="dxa"/>
            <w:left w:w="0" w:type="dxa"/>
            <w:bottom w:w="0" w:type="dxa"/>
            <w:right w:w="0" w:type="dxa"/>
          </w:tblCellMar>
        </w:tblPrEx>
        <w:trPr>
          <w:trHeight w:val="397" w:hRule="atLeast"/>
        </w:trPr>
        <w:tc>
          <w:tcPr>
            <w:tcW w:w="259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专业</w:t>
            </w:r>
          </w:p>
        </w:tc>
        <w:tc>
          <w:tcPr>
            <w:tcW w:w="1119"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科目1</w:t>
            </w:r>
          </w:p>
        </w:tc>
        <w:tc>
          <w:tcPr>
            <w:tcW w:w="114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备注</w:t>
            </w:r>
          </w:p>
        </w:tc>
        <w:tc>
          <w:tcPr>
            <w:tcW w:w="36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科目2</w:t>
            </w:r>
          </w:p>
        </w:tc>
        <w:tc>
          <w:tcPr>
            <w:tcW w:w="1369"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Style w:val="8"/>
                <w:rFonts w:hint="eastAsia" w:ascii="宋体" w:hAnsi="宋体" w:eastAsia="宋体" w:cs="宋体"/>
                <w:sz w:val="18"/>
                <w:szCs w:val="18"/>
                <w:bdr w:val="none" w:color="auto" w:sz="0" w:space="0"/>
              </w:rPr>
              <w:t>备注</w:t>
            </w: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土木工程</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土木工程材料</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护理学</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人体解剖学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康复治疗学</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人体解剖学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生物技术</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生物化学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自动化</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电子技术基础（模拟部分、数字部分）</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机械设计制造及其自动化</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机械设计基础</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市场营销</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管理学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工商管理</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管理学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旅游管理</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管理学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国际经济与贸易</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微观经济学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英语</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综合英语</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文化产业管理</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管理学</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jc w:val="center"/>
              <w:rPr>
                <w:rFonts w:hint="eastAsia" w:ascii="宋体" w:hAnsi="宋体" w:eastAsia="宋体" w:cs="宋体"/>
                <w:sz w:val="18"/>
                <w:szCs w:val="18"/>
              </w:rPr>
            </w:pP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视觉传达设计</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素描</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自备绘画工具</w:t>
            </w: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环境设计</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素描</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自备绘画工具</w:t>
            </w:r>
          </w:p>
        </w:tc>
      </w:tr>
      <w:tr>
        <w:tblPrEx>
          <w:tblCellMar>
            <w:top w:w="0" w:type="dxa"/>
            <w:left w:w="0" w:type="dxa"/>
            <w:bottom w:w="0" w:type="dxa"/>
            <w:right w:w="0" w:type="dxa"/>
          </w:tblCellMar>
        </w:tblPrEx>
        <w:trPr>
          <w:trHeight w:val="283" w:hRule="atLeast"/>
        </w:trPr>
        <w:tc>
          <w:tcPr>
            <w:tcW w:w="259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产品设计</w:t>
            </w:r>
          </w:p>
        </w:tc>
        <w:tc>
          <w:tcPr>
            <w:tcW w:w="11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大学英语</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无听力考试</w:t>
            </w:r>
          </w:p>
        </w:tc>
        <w:tc>
          <w:tcPr>
            <w:tcW w:w="36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素描</w:t>
            </w:r>
          </w:p>
        </w:tc>
        <w:tc>
          <w:tcPr>
            <w:tcW w:w="136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40" w:lineRule="auto"/>
              <w:jc w:val="center"/>
            </w:pPr>
            <w:r>
              <w:rPr>
                <w:rFonts w:hint="eastAsia" w:ascii="宋体" w:hAnsi="宋体" w:eastAsia="宋体" w:cs="宋体"/>
                <w:sz w:val="18"/>
                <w:szCs w:val="18"/>
                <w:bdr w:val="none" w:color="auto" w:sz="0" w:space="0"/>
              </w:rPr>
              <w:t>自备绘画工具</w:t>
            </w:r>
          </w:p>
        </w:tc>
      </w:tr>
    </w:tbl>
    <w:p>
      <w:pPr>
        <w:pStyle w:val="5"/>
        <w:keepNext w:val="0"/>
        <w:keepLines w:val="0"/>
        <w:widowControl/>
        <w:suppressLineNumbers w:val="0"/>
        <w:spacing w:line="240" w:lineRule="auto"/>
        <w:jc w:val="left"/>
      </w:pPr>
      <w:r>
        <w:rPr>
          <w:rStyle w:val="8"/>
          <w:rFonts w:hint="eastAsia" w:ascii="宋体" w:hAnsi="宋体" w:eastAsia="宋体" w:cs="宋体"/>
          <w:sz w:val="28"/>
          <w:szCs w:val="28"/>
        </w:rPr>
        <w:t>2、参考教材目录</w:t>
      </w:r>
      <w:r>
        <w:rPr>
          <w:rFonts w:hint="eastAsia" w:ascii="宋体" w:hAnsi="宋体" w:eastAsia="宋体" w:cs="宋体"/>
          <w:sz w:val="24"/>
          <w:szCs w:val="24"/>
        </w:rPr>
        <w:t>（科目2——专业综合）</w:t>
      </w:r>
    </w:p>
    <w:tbl>
      <w:tblPr>
        <w:tblW w:w="0" w:type="auto"/>
        <w:tblInd w:w="13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621"/>
        <w:gridCol w:w="3426"/>
        <w:gridCol w:w="1474"/>
        <w:gridCol w:w="186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trPr>
        <w:tc>
          <w:tcPr>
            <w:tcW w:w="183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Style w:val="8"/>
                <w:rFonts w:hint="eastAsia" w:ascii="宋体" w:hAnsi="宋体" w:eastAsia="宋体" w:cs="宋体"/>
                <w:sz w:val="18"/>
                <w:szCs w:val="18"/>
                <w:bdr w:val="none" w:color="auto" w:sz="0" w:space="0"/>
              </w:rPr>
              <w:t>课程</w:t>
            </w:r>
          </w:p>
        </w:tc>
        <w:tc>
          <w:tcPr>
            <w:tcW w:w="390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Style w:val="8"/>
                <w:rFonts w:hint="eastAsia" w:ascii="宋体" w:hAnsi="宋体" w:eastAsia="宋体" w:cs="宋体"/>
                <w:sz w:val="18"/>
                <w:szCs w:val="18"/>
                <w:bdr w:val="none" w:color="auto" w:sz="0" w:space="0"/>
              </w:rPr>
              <w:t>参考教材</w:t>
            </w:r>
          </w:p>
        </w:tc>
        <w:tc>
          <w:tcPr>
            <w:tcW w:w="163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Style w:val="8"/>
                <w:rFonts w:hint="eastAsia" w:ascii="宋体" w:hAnsi="宋体" w:eastAsia="宋体" w:cs="宋体"/>
                <w:sz w:val="18"/>
                <w:szCs w:val="18"/>
                <w:bdr w:val="none" w:color="auto" w:sz="0" w:space="0"/>
              </w:rPr>
              <w:t>编著</w:t>
            </w:r>
          </w:p>
        </w:tc>
        <w:tc>
          <w:tcPr>
            <w:tcW w:w="212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Style w:val="8"/>
                <w:rFonts w:hint="eastAsia" w:ascii="宋体" w:hAnsi="宋体" w:eastAsia="宋体" w:cs="宋体"/>
                <w:sz w:val="18"/>
                <w:szCs w:val="18"/>
                <w:bdr w:val="none" w:color="auto" w:sz="0" w:space="0"/>
              </w:rPr>
              <w:t>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土木工程材料</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《土木工程材料》第2版</w:t>
            </w:r>
          </w:p>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（考试大纲见学校土建学院网站）</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湖南大学、天津大学、同济大学、东南大学</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中国建筑工业出版社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3"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人体解剖学</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wordWrap w:val="0"/>
              <w:spacing w:line="260" w:lineRule="atLeast"/>
              <w:jc w:val="center"/>
            </w:pPr>
            <w:r>
              <w:rPr>
                <w:rFonts w:hint="eastAsia" w:ascii="宋体" w:hAnsi="宋体" w:eastAsia="宋体" w:cs="宋体"/>
                <w:sz w:val="18"/>
                <w:szCs w:val="18"/>
                <w:bdr w:val="none" w:color="auto" w:sz="0" w:space="0"/>
              </w:rPr>
              <w:t>《人体解剖学》第3版（高职高专用）（考试大纲见学校医学院网站）</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wordWrap w:val="0"/>
              <w:spacing w:line="260" w:lineRule="atLeast"/>
              <w:jc w:val="center"/>
            </w:pPr>
            <w:r>
              <w:rPr>
                <w:rFonts w:hint="eastAsia" w:ascii="宋体" w:hAnsi="宋体" w:eastAsia="宋体" w:cs="宋体"/>
                <w:sz w:val="18"/>
                <w:szCs w:val="18"/>
                <w:bdr w:val="none" w:color="auto" w:sz="0" w:space="0"/>
              </w:rPr>
              <w:t>丁自海、范真</w:t>
            </w:r>
          </w:p>
          <w:p>
            <w:pPr>
              <w:pStyle w:val="5"/>
              <w:keepNext w:val="0"/>
              <w:keepLines w:val="0"/>
              <w:widowControl/>
              <w:suppressLineNumbers w:val="0"/>
              <w:wordWrap w:val="0"/>
              <w:spacing w:line="260" w:lineRule="atLeast"/>
              <w:jc w:val="center"/>
            </w:pPr>
            <w:r>
              <w:rPr>
                <w:rFonts w:hint="eastAsia" w:ascii="宋体" w:hAnsi="宋体" w:eastAsia="宋体" w:cs="宋体"/>
                <w:sz w:val="18"/>
                <w:szCs w:val="18"/>
                <w:bdr w:val="none" w:color="auto" w:sz="0" w:space="0"/>
              </w:rPr>
              <w:t>主编</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人民卫生出版社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40"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生物化学</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《生物化学教程》</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王镜岩主编</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高等教育出版社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电子技术基础</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《电子技术基础（模拟部分、</w:t>
            </w:r>
          </w:p>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数字部分）》第五版</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康华光</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高等教育出版社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40"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机械设计基础</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《机械设计基础》第六版</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杨可帧</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高等教育出版社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40"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管理学</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《管理学》第1版（2019年）</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陈传明等</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高等教育出版社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40"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微观经济学</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《西方经济学》（微观部分）</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高鸿业</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中国人民大学出版社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46"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综合英语</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《综合教程》（第2版修订版）</w:t>
            </w:r>
          </w:p>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学生用书1-3册</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何兆熊</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上海外语教育出版社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40" w:hRule="atLeast"/>
        </w:trPr>
        <w:tc>
          <w:tcPr>
            <w:tcW w:w="183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素描</w:t>
            </w:r>
          </w:p>
        </w:tc>
        <w:tc>
          <w:tcPr>
            <w:tcW w:w="390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《设计素描》</w:t>
            </w:r>
          </w:p>
        </w:tc>
        <w:tc>
          <w:tcPr>
            <w:tcW w:w="163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田敬等</w:t>
            </w:r>
          </w:p>
        </w:tc>
        <w:tc>
          <w:tcPr>
            <w:tcW w:w="21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spacing w:line="260" w:lineRule="atLeast"/>
              <w:jc w:val="center"/>
            </w:pPr>
            <w:r>
              <w:rPr>
                <w:rFonts w:hint="eastAsia" w:ascii="宋体" w:hAnsi="宋体" w:eastAsia="宋体" w:cs="宋体"/>
                <w:sz w:val="18"/>
                <w:szCs w:val="18"/>
                <w:bdr w:val="none" w:color="auto" w:sz="0" w:space="0"/>
              </w:rPr>
              <w:t>河北美术出版社</w:t>
            </w:r>
          </w:p>
        </w:tc>
      </w:tr>
    </w:tbl>
    <w:p>
      <w:pPr>
        <w:pStyle w:val="5"/>
        <w:keepNext w:val="0"/>
        <w:keepLines w:val="0"/>
        <w:widowControl/>
        <w:suppressLineNumbers w:val="0"/>
        <w:spacing w:line="400" w:lineRule="atLeast"/>
        <w:jc w:val="left"/>
      </w:pPr>
      <w:r>
        <w:rPr>
          <w:rFonts w:hint="default" w:ascii="仿宋_GB2312" w:hAnsi="宋体" w:eastAsia="仿宋_GB2312" w:cs="仿宋_GB2312"/>
          <w:sz w:val="32"/>
          <w:szCs w:val="32"/>
        </w:rPr>
        <w:br w:type="page"/>
      </w:r>
      <w:r>
        <w:rPr>
          <w:rFonts w:hint="default" w:ascii="仿宋_GB2312" w:hAnsi="宋体" w:eastAsia="仿宋_GB2312" w:cs="仿宋_GB2312"/>
          <w:sz w:val="32"/>
          <w:szCs w:val="32"/>
        </w:rPr>
        <w:t>附件4</w:t>
      </w:r>
    </w:p>
    <w:p>
      <w:pPr>
        <w:pStyle w:val="5"/>
        <w:keepNext w:val="0"/>
        <w:keepLines w:val="0"/>
        <w:widowControl/>
        <w:suppressLineNumbers w:val="0"/>
        <w:spacing w:line="480" w:lineRule="atLeast"/>
        <w:jc w:val="center"/>
      </w:pPr>
      <w:r>
        <w:rPr>
          <w:rStyle w:val="8"/>
          <w:rFonts w:hint="default" w:ascii="仿宋_GB2312" w:hAnsi="宋体" w:eastAsia="仿宋_GB2312" w:cs="仿宋_GB2312"/>
          <w:sz w:val="36"/>
          <w:szCs w:val="36"/>
        </w:rPr>
        <w:t>2021年普通专升本《大学英语》考试大纲</w:t>
      </w:r>
    </w:p>
    <w:p>
      <w:pPr>
        <w:pStyle w:val="5"/>
        <w:keepNext w:val="0"/>
        <w:keepLines w:val="0"/>
        <w:widowControl/>
        <w:suppressLineNumbers w:val="0"/>
        <w:spacing w:line="300" w:lineRule="atLeast"/>
        <w:jc w:val="center"/>
      </w:pPr>
      <w:r>
        <w:rPr>
          <w:rFonts w:hint="eastAsia" w:ascii="宋体" w:hAnsi="宋体" w:eastAsia="宋体" w:cs="宋体"/>
          <w:sz w:val="24"/>
          <w:szCs w:val="24"/>
        </w:rPr>
        <w:t>（科目1——大学英语）</w:t>
      </w:r>
    </w:p>
    <w:p>
      <w:pPr>
        <w:pStyle w:val="5"/>
        <w:keepNext w:val="0"/>
        <w:keepLines w:val="0"/>
        <w:widowControl/>
        <w:suppressLineNumbers w:val="0"/>
        <w:spacing w:line="240" w:lineRule="auto"/>
        <w:ind w:left="0" w:firstLine="480"/>
        <w:jc w:val="left"/>
      </w:pPr>
      <w:r>
        <w:rPr>
          <w:rFonts w:hint="default" w:ascii="仿宋_GB2312" w:hAnsi="宋体" w:eastAsia="仿宋_GB2312" w:cs="仿宋_GB2312"/>
          <w:sz w:val="24"/>
          <w:szCs w:val="24"/>
        </w:rPr>
        <w:t>本考试的目的是选拔部分高职高专毕业生升入普通本科高校继续进行相关专业本科阶段学习，考查考生是否具有运用各项基本英语技能的能力以及学生对语法结构和词语用法的掌握程度，既测试学生的综合能力，也测试学生的单项技能。</w:t>
      </w:r>
    </w:p>
    <w:p>
      <w:pPr>
        <w:pStyle w:val="5"/>
        <w:keepNext w:val="0"/>
        <w:keepLines w:val="0"/>
        <w:widowControl/>
        <w:suppressLineNumbers w:val="0"/>
        <w:spacing w:line="240" w:lineRule="auto"/>
        <w:ind w:left="0" w:firstLine="480"/>
        <w:jc w:val="left"/>
      </w:pPr>
      <w:r>
        <w:rPr>
          <w:rFonts w:hint="eastAsia" w:ascii="黑体" w:hAnsi="宋体" w:eastAsia="黑体" w:cs="黑体"/>
          <w:sz w:val="24"/>
          <w:szCs w:val="24"/>
        </w:rPr>
        <w:t>一、考试科目名称：</w:t>
      </w:r>
      <w:r>
        <w:rPr>
          <w:rFonts w:hint="default" w:ascii="仿宋_GB2312" w:hAnsi="宋体" w:eastAsia="仿宋_GB2312" w:cs="仿宋_GB2312"/>
          <w:sz w:val="24"/>
          <w:szCs w:val="24"/>
        </w:rPr>
        <w:t>《大学英语》</w:t>
      </w:r>
    </w:p>
    <w:p>
      <w:pPr>
        <w:pStyle w:val="5"/>
        <w:keepNext w:val="0"/>
        <w:keepLines w:val="0"/>
        <w:widowControl/>
        <w:suppressLineNumbers w:val="0"/>
        <w:spacing w:line="240" w:lineRule="auto"/>
        <w:ind w:left="0" w:firstLine="480"/>
        <w:jc w:val="left"/>
      </w:pPr>
      <w:r>
        <w:rPr>
          <w:rFonts w:hint="eastAsia" w:ascii="黑体" w:hAnsi="宋体" w:eastAsia="黑体" w:cs="黑体"/>
          <w:sz w:val="24"/>
          <w:szCs w:val="24"/>
        </w:rPr>
        <w:t>二、考试方式：</w:t>
      </w:r>
      <w:r>
        <w:rPr>
          <w:rFonts w:hint="default" w:ascii="仿宋_GB2312" w:hAnsi="宋体" w:eastAsia="仿宋_GB2312" w:cs="仿宋_GB2312"/>
          <w:sz w:val="24"/>
          <w:szCs w:val="24"/>
        </w:rPr>
        <w:t>笔试、闭卷</w:t>
      </w:r>
    </w:p>
    <w:p>
      <w:pPr>
        <w:pStyle w:val="5"/>
        <w:keepNext w:val="0"/>
        <w:keepLines w:val="0"/>
        <w:widowControl/>
        <w:suppressLineNumbers w:val="0"/>
        <w:spacing w:line="240" w:lineRule="auto"/>
        <w:ind w:left="0" w:firstLine="480"/>
        <w:jc w:val="left"/>
      </w:pPr>
      <w:r>
        <w:rPr>
          <w:rFonts w:hint="eastAsia" w:ascii="黑体" w:hAnsi="宋体" w:eastAsia="黑体" w:cs="黑体"/>
          <w:sz w:val="24"/>
          <w:szCs w:val="24"/>
        </w:rPr>
        <w:t>三、考试时间：</w:t>
      </w:r>
      <w:r>
        <w:rPr>
          <w:rFonts w:hint="default" w:ascii="仿宋_GB2312" w:hAnsi="宋体" w:eastAsia="仿宋_GB2312" w:cs="仿宋_GB2312"/>
          <w:sz w:val="24"/>
          <w:szCs w:val="24"/>
        </w:rPr>
        <w:t>120分钟</w:t>
      </w:r>
    </w:p>
    <w:p>
      <w:pPr>
        <w:pStyle w:val="5"/>
        <w:keepNext w:val="0"/>
        <w:keepLines w:val="0"/>
        <w:widowControl/>
        <w:suppressLineNumbers w:val="0"/>
        <w:spacing w:line="240" w:lineRule="auto"/>
        <w:ind w:left="0" w:firstLine="480"/>
        <w:jc w:val="left"/>
      </w:pPr>
      <w:r>
        <w:rPr>
          <w:rFonts w:hint="eastAsia" w:ascii="黑体" w:hAnsi="宋体" w:eastAsia="黑体" w:cs="黑体"/>
          <w:sz w:val="24"/>
          <w:szCs w:val="24"/>
        </w:rPr>
        <w:t>四、试卷结构：</w:t>
      </w:r>
      <w:r>
        <w:rPr>
          <w:rFonts w:hint="default" w:ascii="仿宋_GB2312" w:hAnsi="宋体" w:eastAsia="仿宋_GB2312" w:cs="仿宋_GB2312"/>
          <w:sz w:val="24"/>
          <w:szCs w:val="24"/>
        </w:rPr>
        <w:t>总分100分</w:t>
      </w:r>
    </w:p>
    <w:p>
      <w:pPr>
        <w:pStyle w:val="5"/>
        <w:keepNext w:val="0"/>
        <w:keepLines w:val="0"/>
        <w:widowControl/>
        <w:suppressLineNumbers w:val="0"/>
        <w:spacing w:line="240" w:lineRule="auto"/>
        <w:ind w:left="0" w:firstLine="482"/>
        <w:jc w:val="left"/>
      </w:pPr>
      <w:r>
        <w:rPr>
          <w:rStyle w:val="8"/>
          <w:rFonts w:hint="eastAsia" w:ascii="黑体" w:hAnsi="宋体" w:eastAsia="黑体" w:cs="黑体"/>
          <w:sz w:val="24"/>
          <w:szCs w:val="24"/>
        </w:rPr>
        <w:t>1.英语应用（共25分）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词汇和语法（其中词汇10小题，语法15小题；每小题1分）</w:t>
      </w:r>
    </w:p>
    <w:p>
      <w:pPr>
        <w:pStyle w:val="5"/>
        <w:keepNext w:val="0"/>
        <w:keepLines w:val="0"/>
        <w:widowControl/>
        <w:suppressLineNumbers w:val="0"/>
        <w:spacing w:line="240" w:lineRule="auto"/>
        <w:ind w:left="0" w:firstLine="482"/>
        <w:jc w:val="left"/>
      </w:pPr>
      <w:r>
        <w:rPr>
          <w:rStyle w:val="8"/>
          <w:rFonts w:hint="eastAsia" w:ascii="黑体" w:hAnsi="宋体" w:eastAsia="黑体" w:cs="黑体"/>
          <w:sz w:val="24"/>
          <w:szCs w:val="24"/>
        </w:rPr>
        <w:t>2.阅读理解（共45分）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篇章1.[选择题，4选1]5小题（每小题2分，共10分）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篇章2.[选择题，4选1]5小题（每小题2分，共10分）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篇章3.[选择题，4选1]5小题（每小题2分，共10分）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篇章4.[选择题，4选1]5小题（每小题2分，共10分）</w:t>
      </w:r>
    </w:p>
    <w:p>
      <w:pPr>
        <w:pStyle w:val="5"/>
        <w:keepNext w:val="0"/>
        <w:keepLines w:val="0"/>
        <w:widowControl/>
        <w:suppressLineNumbers w:val="0"/>
        <w:spacing w:line="240" w:lineRule="auto"/>
        <w:ind w:left="0" w:firstLine="482"/>
        <w:jc w:val="left"/>
      </w:pPr>
      <w:r>
        <w:rPr>
          <w:rStyle w:val="8"/>
          <w:rFonts w:hint="default" w:ascii="仿宋_GB2312" w:hAnsi="宋体" w:eastAsia="仿宋_GB2312" w:cs="仿宋_GB2312"/>
          <w:sz w:val="24"/>
          <w:szCs w:val="24"/>
        </w:rPr>
        <w:t>*</w:t>
      </w:r>
      <w:r>
        <w:rPr>
          <w:rStyle w:val="8"/>
        </w:rPr>
        <w:t xml:space="preserve"> </w:t>
      </w:r>
      <w:r>
        <w:rPr>
          <w:rFonts w:hint="default" w:ascii="仿宋_GB2312" w:hAnsi="宋体" w:eastAsia="仿宋_GB2312" w:cs="仿宋_GB2312"/>
          <w:sz w:val="24"/>
          <w:szCs w:val="24"/>
        </w:rPr>
        <w:t>篇章5.[填充题]5小题（每小题1分，共5分）</w:t>
      </w:r>
    </w:p>
    <w:p>
      <w:pPr>
        <w:pStyle w:val="5"/>
        <w:keepNext w:val="0"/>
        <w:keepLines w:val="0"/>
        <w:widowControl/>
        <w:suppressLineNumbers w:val="0"/>
        <w:spacing w:line="240" w:lineRule="auto"/>
        <w:ind w:left="0" w:firstLine="482"/>
        <w:jc w:val="left"/>
      </w:pPr>
      <w:r>
        <w:rPr>
          <w:rStyle w:val="8"/>
          <w:rFonts w:hint="eastAsia" w:ascii="黑体" w:hAnsi="宋体" w:eastAsia="黑体" w:cs="黑体"/>
          <w:sz w:val="24"/>
          <w:szCs w:val="24"/>
        </w:rPr>
        <w:t>3.英译汉（共20分）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单句翻译：[选择题，3选1]5小题（每小题2分，共10分）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段落翻译：1个段落（共10分）</w:t>
      </w:r>
    </w:p>
    <w:p>
      <w:pPr>
        <w:pStyle w:val="5"/>
        <w:keepNext w:val="0"/>
        <w:keepLines w:val="0"/>
        <w:widowControl/>
        <w:suppressLineNumbers w:val="0"/>
        <w:spacing w:line="240" w:lineRule="auto"/>
        <w:ind w:left="0" w:firstLine="482"/>
        <w:jc w:val="left"/>
      </w:pPr>
      <w:r>
        <w:rPr>
          <w:rStyle w:val="8"/>
          <w:rFonts w:hint="eastAsia" w:ascii="黑体" w:hAnsi="宋体" w:eastAsia="黑体" w:cs="黑体"/>
          <w:sz w:val="24"/>
          <w:szCs w:val="24"/>
        </w:rPr>
        <w:t>4.写作（共10分）</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应用文1篇 (10分)</w:t>
      </w:r>
    </w:p>
    <w:p>
      <w:pPr>
        <w:pStyle w:val="5"/>
        <w:keepNext w:val="0"/>
        <w:keepLines w:val="0"/>
        <w:widowControl/>
        <w:suppressLineNumbers w:val="0"/>
        <w:spacing w:line="240" w:lineRule="auto"/>
        <w:ind w:left="0" w:firstLine="480"/>
        <w:jc w:val="left"/>
      </w:pPr>
      <w:r>
        <w:rPr>
          <w:rFonts w:hint="eastAsia" w:ascii="黑体" w:hAnsi="宋体" w:eastAsia="黑体" w:cs="黑体"/>
          <w:sz w:val="24"/>
          <w:szCs w:val="24"/>
        </w:rPr>
        <w:t>五、考试的基本要求</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以《高职高专教育英语课程教学基本要求（试行）》中的B级标准（听力部分除外）为基本要求，注重考查学生实际运用语言的能力。</w:t>
      </w:r>
    </w:p>
    <w:p>
      <w:pPr>
        <w:pStyle w:val="5"/>
        <w:keepNext w:val="0"/>
        <w:keepLines w:val="0"/>
        <w:widowControl/>
        <w:suppressLineNumbers w:val="0"/>
        <w:spacing w:line="240" w:lineRule="auto"/>
        <w:ind w:left="0" w:firstLine="480"/>
        <w:jc w:val="left"/>
      </w:pPr>
      <w:r>
        <w:rPr>
          <w:rFonts w:hint="eastAsia" w:ascii="黑体" w:hAnsi="宋体" w:eastAsia="黑体" w:cs="黑体"/>
          <w:sz w:val="24"/>
          <w:szCs w:val="24"/>
        </w:rPr>
        <w:t>六、考试范围</w:t>
      </w:r>
    </w:p>
    <w:p>
      <w:pPr>
        <w:pStyle w:val="5"/>
        <w:keepNext w:val="0"/>
        <w:keepLines w:val="0"/>
        <w:widowControl/>
        <w:suppressLineNumbers w:val="0"/>
        <w:spacing w:line="240" w:lineRule="auto"/>
        <w:ind w:left="0" w:firstLine="482"/>
        <w:jc w:val="left"/>
      </w:pPr>
      <w:r>
        <w:rPr>
          <w:rStyle w:val="8"/>
          <w:rFonts w:hint="default" w:ascii="楷体_GB2312" w:hAnsi="宋体" w:eastAsia="楷体_GB2312" w:cs="楷体_GB2312"/>
          <w:color w:val="000000"/>
          <w:sz w:val="24"/>
          <w:szCs w:val="24"/>
        </w:rPr>
        <w:t>1.词汇。</w:t>
      </w:r>
      <w:r>
        <w:rPr>
          <w:rFonts w:hint="default" w:ascii="仿宋_GB2312" w:hAnsi="宋体" w:eastAsia="仿宋_GB2312" w:cs="仿宋_GB2312"/>
          <w:sz w:val="24"/>
          <w:szCs w:val="24"/>
        </w:rPr>
        <w:t>掌握2500个英语单词以及由这些词构成的常用词组，对其中1500个左右的单词能正确拼写，英汉互译。</w:t>
      </w:r>
    </w:p>
    <w:p>
      <w:pPr>
        <w:pStyle w:val="5"/>
        <w:keepNext w:val="0"/>
        <w:keepLines w:val="0"/>
        <w:widowControl/>
        <w:suppressLineNumbers w:val="0"/>
        <w:spacing w:line="240" w:lineRule="auto"/>
        <w:ind w:left="0" w:firstLine="482"/>
        <w:jc w:val="left"/>
      </w:pPr>
      <w:r>
        <w:rPr>
          <w:rStyle w:val="8"/>
          <w:rFonts w:hint="default" w:ascii="楷体_GB2312" w:hAnsi="宋体" w:eastAsia="楷体_GB2312" w:cs="楷体_GB2312"/>
          <w:color w:val="000000"/>
          <w:sz w:val="24"/>
          <w:szCs w:val="24"/>
        </w:rPr>
        <w:t>2.语法。</w:t>
      </w:r>
      <w:r>
        <w:rPr>
          <w:rFonts w:hint="default" w:ascii="仿宋_GB2312" w:hAnsi="宋体" w:eastAsia="仿宋_GB2312" w:cs="仿宋_GB2312"/>
          <w:sz w:val="24"/>
          <w:szCs w:val="24"/>
        </w:rPr>
        <w:t>掌握基本的英语语法规则，在听、说、读、写、译中能正确运用所学语法知识。</w:t>
      </w:r>
    </w:p>
    <w:p>
      <w:pPr>
        <w:pStyle w:val="5"/>
        <w:keepNext w:val="0"/>
        <w:keepLines w:val="0"/>
        <w:widowControl/>
        <w:suppressLineNumbers w:val="0"/>
        <w:spacing w:line="240" w:lineRule="auto"/>
        <w:ind w:left="0" w:firstLine="482"/>
        <w:jc w:val="left"/>
      </w:pPr>
      <w:r>
        <w:rPr>
          <w:rStyle w:val="8"/>
          <w:rFonts w:hint="default" w:ascii="楷体_GB2312" w:hAnsi="宋体" w:eastAsia="楷体_GB2312" w:cs="楷体_GB2312"/>
          <w:color w:val="000000"/>
          <w:sz w:val="24"/>
          <w:szCs w:val="24"/>
        </w:rPr>
        <w:t>3.阅读。</w:t>
      </w:r>
      <w:r>
        <w:rPr>
          <w:rFonts w:hint="default" w:ascii="仿宋_GB2312" w:hAnsi="宋体" w:eastAsia="仿宋_GB2312" w:cs="仿宋_GB2312"/>
          <w:sz w:val="24"/>
          <w:szCs w:val="24"/>
        </w:rPr>
        <w:t>能阅读中等难度的一般题材的简短英文资料，理解正确。在阅读生词不超过总词数3%的英文资料时，阅读速度不低于每分钟50词。能读懂通用的简短实用文字材料，如信函、产品说明等，理解基本正确。</w:t>
      </w:r>
    </w:p>
    <w:p>
      <w:pPr>
        <w:pStyle w:val="5"/>
        <w:keepNext w:val="0"/>
        <w:keepLines w:val="0"/>
        <w:widowControl/>
        <w:suppressLineNumbers w:val="0"/>
        <w:spacing w:line="240" w:lineRule="auto"/>
        <w:ind w:left="0" w:firstLine="482"/>
        <w:jc w:val="left"/>
      </w:pPr>
      <w:r>
        <w:rPr>
          <w:rStyle w:val="8"/>
          <w:rFonts w:hint="default" w:ascii="楷体_GB2312" w:hAnsi="宋体" w:eastAsia="楷体_GB2312" w:cs="楷体_GB2312"/>
          <w:color w:val="000000"/>
          <w:sz w:val="24"/>
          <w:szCs w:val="24"/>
        </w:rPr>
        <w:t>4.翻译（英译汉）。</w:t>
      </w:r>
      <w:r>
        <w:rPr>
          <w:rFonts w:hint="default" w:ascii="仿宋_GB2312" w:hAnsi="宋体" w:eastAsia="仿宋_GB2312" w:cs="仿宋_GB2312"/>
          <w:sz w:val="24"/>
          <w:szCs w:val="24"/>
        </w:rPr>
        <w:t>能将中等偏易难度的一般题材的文字材料和对外交往中的一般业务的英文材料译成汉语。理解正确，译文达意，格式恰当。</w:t>
      </w:r>
    </w:p>
    <w:p>
      <w:pPr>
        <w:pStyle w:val="5"/>
        <w:keepNext w:val="0"/>
        <w:keepLines w:val="0"/>
        <w:widowControl/>
        <w:suppressLineNumbers w:val="0"/>
        <w:spacing w:line="240" w:lineRule="auto"/>
        <w:ind w:left="0" w:firstLine="482"/>
        <w:jc w:val="left"/>
      </w:pPr>
      <w:r>
        <w:rPr>
          <w:rStyle w:val="8"/>
          <w:rFonts w:hint="default" w:ascii="楷体_GB2312" w:hAnsi="宋体" w:eastAsia="楷体_GB2312" w:cs="楷体_GB2312"/>
          <w:color w:val="000000"/>
          <w:sz w:val="24"/>
          <w:szCs w:val="24"/>
        </w:rPr>
        <w:t>5.写作。</w:t>
      </w:r>
      <w:r>
        <w:rPr>
          <w:rFonts w:hint="default" w:ascii="仿宋_GB2312" w:hAnsi="宋体" w:eastAsia="仿宋_GB2312" w:cs="仿宋_GB2312"/>
          <w:sz w:val="24"/>
          <w:szCs w:val="24"/>
        </w:rPr>
        <w:t>能运用所学词汇和语法用英语写出简短的应用文，如书信、便函、简历、通知、海报等。要求词句基本正确，无重大语法错误，格式基本恰当，表达清楚。</w:t>
      </w:r>
    </w:p>
    <w:p>
      <w:pPr>
        <w:pStyle w:val="5"/>
        <w:keepNext w:val="0"/>
        <w:keepLines w:val="0"/>
        <w:widowControl/>
        <w:suppressLineNumbers w:val="0"/>
        <w:spacing w:line="240" w:lineRule="auto"/>
        <w:ind w:left="0" w:firstLine="720"/>
        <w:jc w:val="left"/>
      </w:pPr>
      <w:r>
        <w:rPr>
          <w:rFonts w:hint="default" w:ascii="仿宋_GB2312" w:hAnsi="宋体" w:eastAsia="仿宋_GB2312" w:cs="仿宋_GB2312"/>
          <w:sz w:val="24"/>
          <w:szCs w:val="24"/>
        </w:rPr>
        <w:t>附：高职高专教育英语课程教学基本要求</w:t>
      </w:r>
    </w:p>
    <w:p>
      <w:pPr>
        <w:pStyle w:val="5"/>
        <w:keepNext w:val="0"/>
        <w:keepLines w:val="0"/>
        <w:widowControl/>
        <w:suppressLineNumbers w:val="0"/>
        <w:spacing w:line="480" w:lineRule="atLeast"/>
        <w:jc w:val="left"/>
      </w:pPr>
      <w:r>
        <w:rPr>
          <w:rFonts w:hint="default" w:ascii="Calibri" w:hAnsi="Calibri" w:eastAsia="宋体" w:cs="Calibri"/>
          <w:sz w:val="21"/>
          <w:szCs w:val="21"/>
        </w:rPr>
        <w:br w:type="page"/>
      </w:r>
      <w:r>
        <w:rPr>
          <w:rFonts w:hint="eastAsia" w:ascii="黑体" w:hAnsi="宋体" w:eastAsia="黑体" w:cs="黑体"/>
          <w:sz w:val="28"/>
          <w:szCs w:val="28"/>
        </w:rPr>
        <w:t>附</w:t>
      </w:r>
    </w:p>
    <w:p>
      <w:pPr>
        <w:pStyle w:val="5"/>
        <w:keepNext w:val="0"/>
        <w:keepLines w:val="0"/>
        <w:widowControl/>
        <w:suppressLineNumbers w:val="0"/>
        <w:spacing w:line="340" w:lineRule="atLeast"/>
        <w:jc w:val="center"/>
      </w:pPr>
      <w:r>
        <w:rPr>
          <w:rFonts w:hint="eastAsia" w:ascii="黑体" w:hAnsi="宋体" w:eastAsia="黑体" w:cs="黑体"/>
          <w:sz w:val="28"/>
          <w:szCs w:val="28"/>
        </w:rPr>
        <w:t>高职高专教育英语课程教学基本要求</w:t>
      </w:r>
    </w:p>
    <w:p>
      <w:pPr>
        <w:pStyle w:val="5"/>
        <w:keepNext w:val="0"/>
        <w:keepLines w:val="0"/>
        <w:widowControl/>
        <w:suppressLineNumbers w:val="0"/>
        <w:spacing w:line="340" w:lineRule="atLeast"/>
        <w:jc w:val="center"/>
      </w:pPr>
      <w:r>
        <w:rPr>
          <w:rFonts w:hint="default" w:ascii="仿宋_GB2312" w:hAnsi="宋体" w:eastAsia="仿宋_GB2312" w:cs="仿宋_GB2312"/>
          <w:sz w:val="24"/>
          <w:szCs w:val="24"/>
        </w:rPr>
        <w:t>（教育部高等教育司2000年10月颁布/试行）</w:t>
      </w:r>
    </w:p>
    <w:p>
      <w:pPr>
        <w:pStyle w:val="5"/>
        <w:keepNext w:val="0"/>
        <w:keepLines w:val="0"/>
        <w:widowControl/>
        <w:suppressLineNumbers w:val="0"/>
        <w:spacing w:line="330" w:lineRule="atLeast"/>
        <w:jc w:val="left"/>
      </w:pPr>
      <w:r>
        <w:rPr>
          <w:rFonts w:hint="eastAsia" w:ascii="黑体" w:hAnsi="宋体" w:eastAsia="黑体" w:cs="黑体"/>
          <w:sz w:val="24"/>
          <w:szCs w:val="24"/>
        </w:rPr>
        <w:t>一、适用对象</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本教学基本要求适用于高职高专教育（即普通高等专科教育、高等职业教育和成人高等专科教育）非英语专业的学生。学生入学时一般应掌握基本的英语语音和语法知识，认知英语单词1000个（较低要求）-1600个（标准要求），在听、说、读、写、译等方面受过初步的训练。</w:t>
      </w:r>
    </w:p>
    <w:p>
      <w:pPr>
        <w:pStyle w:val="5"/>
        <w:keepNext w:val="0"/>
        <w:keepLines w:val="0"/>
        <w:widowControl/>
        <w:suppressLineNumbers w:val="0"/>
        <w:spacing w:line="330" w:lineRule="atLeast"/>
        <w:jc w:val="left"/>
      </w:pPr>
      <w:r>
        <w:rPr>
          <w:rFonts w:hint="eastAsia" w:ascii="黑体" w:hAnsi="宋体" w:eastAsia="黑体" w:cs="黑体"/>
          <w:sz w:val="24"/>
          <w:szCs w:val="24"/>
        </w:rPr>
        <w:t>二、教学目的</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高职高专教育英语课程的教学目的是：经过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pStyle w:val="5"/>
        <w:keepNext w:val="0"/>
        <w:keepLines w:val="0"/>
        <w:widowControl/>
        <w:suppressLineNumbers w:val="0"/>
        <w:spacing w:line="330" w:lineRule="atLeast"/>
        <w:jc w:val="left"/>
      </w:pPr>
      <w:r>
        <w:rPr>
          <w:rFonts w:hint="eastAsia" w:ascii="黑体" w:hAnsi="宋体" w:eastAsia="黑体" w:cs="黑体"/>
          <w:sz w:val="24"/>
          <w:szCs w:val="24"/>
        </w:rPr>
        <w:t>三、教学要求</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鉴于目前高职、高专和成人高专学生入学时的英语水平差异较大，本课程的教学要求分为A、B两级，实行分级指导。A级是标准要求，B级是过渡要求。入学水平较高的学生应达到A级要求，入学水平较低的学生至少应达到B级要求。随着入学英语水平的不断提高，学生均应达到A级要求。</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本课程在加强英语语言基础知识和基本技能训练的同时，重视培养学生实际使用英语进行交际的能力。通过本课程的学习，学生应该达到下列要求：</w:t>
      </w:r>
    </w:p>
    <w:p>
      <w:pPr>
        <w:pStyle w:val="5"/>
        <w:keepNext w:val="0"/>
        <w:keepLines w:val="0"/>
        <w:widowControl/>
        <w:suppressLineNumbers w:val="0"/>
        <w:spacing w:line="330" w:lineRule="atLeast"/>
        <w:ind w:left="0" w:firstLine="482"/>
        <w:jc w:val="left"/>
      </w:pPr>
      <w:r>
        <w:rPr>
          <w:rStyle w:val="8"/>
          <w:rFonts w:hint="default" w:ascii="仿宋_GB2312" w:hAnsi="宋体" w:eastAsia="仿宋_GB2312" w:cs="仿宋_GB2312"/>
          <w:sz w:val="24"/>
          <w:szCs w:val="24"/>
        </w:rPr>
        <w:t>1.词汇</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A级：认知3400个英语单词（包括入学时要求掌握的1600个词）以及由这些词构成的常用词组，对其中2000个左右的单词能正确拼写，英汉互译。学生还应结合专业英语学习，认知400个专业英语词汇。</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B级：认知2500个英语单词（包括入学时要求掌握的1000个词）以及由这些词构成的常用词组，对其中1500个左右的单词能正确拼写，英汉互译。</w:t>
      </w:r>
    </w:p>
    <w:p>
      <w:pPr>
        <w:pStyle w:val="5"/>
        <w:keepNext w:val="0"/>
        <w:keepLines w:val="0"/>
        <w:widowControl/>
        <w:suppressLineNumbers w:val="0"/>
        <w:spacing w:line="330" w:lineRule="atLeast"/>
        <w:ind w:left="0" w:firstLine="482"/>
        <w:jc w:val="left"/>
      </w:pPr>
      <w:r>
        <w:rPr>
          <w:rStyle w:val="8"/>
          <w:rFonts w:hint="default" w:ascii="仿宋_GB2312" w:hAnsi="宋体" w:eastAsia="仿宋_GB2312" w:cs="仿宋_GB2312"/>
          <w:sz w:val="24"/>
          <w:szCs w:val="24"/>
        </w:rPr>
        <w:t>2.语法</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掌握基本的英语语法规则，在听、说、读、写、译中能正确运用所学语法知识。</w:t>
      </w:r>
    </w:p>
    <w:p>
      <w:pPr>
        <w:pStyle w:val="5"/>
        <w:keepNext w:val="0"/>
        <w:keepLines w:val="0"/>
        <w:widowControl/>
        <w:suppressLineNumbers w:val="0"/>
        <w:spacing w:line="330" w:lineRule="atLeast"/>
        <w:ind w:left="0" w:firstLine="482"/>
        <w:jc w:val="left"/>
      </w:pPr>
      <w:r>
        <w:rPr>
          <w:rStyle w:val="8"/>
          <w:rFonts w:hint="default" w:ascii="仿宋_GB2312" w:hAnsi="宋体" w:eastAsia="仿宋_GB2312" w:cs="仿宋_GB2312"/>
          <w:sz w:val="24"/>
          <w:szCs w:val="24"/>
        </w:rPr>
        <w:t>3.听力</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A级：能听懂日常和涉外业务活动中使用的结构简单、发音清楚、语速较慢（每分钟120词左右）的英语对话和不太复杂的陈述，理解基本正确。</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B级：能听懂涉及日常交际的结构简单、发音清楚、语速较慢（每分钟110词左右）的英语简短对话和陈述，理解基本正确。</w:t>
      </w:r>
    </w:p>
    <w:p>
      <w:pPr>
        <w:pStyle w:val="5"/>
        <w:keepNext w:val="0"/>
        <w:keepLines w:val="0"/>
        <w:widowControl/>
        <w:suppressLineNumbers w:val="0"/>
        <w:spacing w:line="330" w:lineRule="atLeast"/>
        <w:ind w:left="0" w:firstLine="482"/>
        <w:jc w:val="left"/>
      </w:pPr>
      <w:r>
        <w:rPr>
          <w:rStyle w:val="8"/>
          <w:rFonts w:hint="default" w:ascii="仿宋_GB2312" w:hAnsi="宋体" w:eastAsia="仿宋_GB2312" w:cs="仿宋_GB2312"/>
          <w:sz w:val="24"/>
          <w:szCs w:val="24"/>
        </w:rPr>
        <w:t>4.口语</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A级：能用英语进行一般的课堂交际，并能在日常和涉外业务活动中进行简单的交流。</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B级：掌握一般的课堂用语，并能在日常涉外活动中进行简单的交流。</w:t>
      </w:r>
    </w:p>
    <w:p>
      <w:pPr>
        <w:pStyle w:val="5"/>
        <w:keepNext w:val="0"/>
        <w:keepLines w:val="0"/>
        <w:widowControl/>
        <w:suppressLineNumbers w:val="0"/>
        <w:spacing w:line="330" w:lineRule="atLeast"/>
        <w:ind w:left="0" w:firstLine="482"/>
        <w:jc w:val="left"/>
      </w:pPr>
      <w:r>
        <w:rPr>
          <w:rStyle w:val="8"/>
          <w:rFonts w:hint="default" w:ascii="仿宋_GB2312" w:hAnsi="宋体" w:eastAsia="仿宋_GB2312" w:cs="仿宋_GB2312"/>
          <w:sz w:val="24"/>
          <w:szCs w:val="24"/>
        </w:rPr>
        <w:t>5.阅读</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A级：能阅读中等难度的一般题材的简短英文资料，理解正确。在阅读生词不超过总词数3%的英文资料时，阅读速度不低于每分钟70词。能读懂通用的简短实用文字材料，如信函、技术说明书、合同等，理解正确。</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B级：能阅读中等难度的一般题材的简短英文资料，理解正确。在阅读生词不超过总词数3%的英文资料时，阅读速度不低于每分钟50词。能读懂通用的简短实用文字材料，如信函、产品说明等，理解基本正确。</w:t>
      </w:r>
    </w:p>
    <w:p>
      <w:pPr>
        <w:pStyle w:val="5"/>
        <w:keepNext w:val="0"/>
        <w:keepLines w:val="0"/>
        <w:widowControl/>
        <w:suppressLineNumbers w:val="0"/>
        <w:spacing w:line="330" w:lineRule="atLeast"/>
        <w:ind w:left="0" w:firstLine="482"/>
        <w:jc w:val="left"/>
      </w:pPr>
      <w:r>
        <w:rPr>
          <w:rStyle w:val="8"/>
          <w:rFonts w:hint="default" w:ascii="仿宋_GB2312" w:hAnsi="宋体" w:eastAsia="仿宋_GB2312" w:cs="仿宋_GB2312"/>
          <w:sz w:val="24"/>
          <w:szCs w:val="24"/>
        </w:rPr>
        <w:t>6.写作</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A级：能就一般性题材，在30分钟内写出80－100词的命题作文；能填写和模拟套写简短的英语应用文，如填写表格与单证，套写简历、通知、信函等，词句基本正确，无重大语法错误，格式恰当，表达清楚。</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B级：能运用所学词汇和语法写出简单的短文；能用英语填写表格，套写便函、简历等，词句基本正确，无重大语法错误，格式基本恰当，表达清楚。</w:t>
      </w:r>
    </w:p>
    <w:p>
      <w:pPr>
        <w:pStyle w:val="5"/>
        <w:keepNext w:val="0"/>
        <w:keepLines w:val="0"/>
        <w:widowControl/>
        <w:suppressLineNumbers w:val="0"/>
        <w:spacing w:line="330" w:lineRule="atLeast"/>
        <w:ind w:left="0" w:firstLine="482"/>
        <w:jc w:val="left"/>
      </w:pPr>
      <w:r>
        <w:rPr>
          <w:rStyle w:val="8"/>
          <w:rFonts w:hint="default" w:ascii="仿宋_GB2312" w:hAnsi="宋体" w:eastAsia="仿宋_GB2312" w:cs="仿宋_GB2312"/>
          <w:sz w:val="24"/>
          <w:szCs w:val="24"/>
        </w:rPr>
        <w:t>7.翻译（英译汉）</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A级：能借助词典将中等难度的一般题材的文字材料和对外交往中的一般业务文字材料译成汉语。理解正确，译文达意，格式恰当。在翻译生词不超过总词数5％的实用文字材料时，笔译速度每小时250个英语词。</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B级：能借助词典将中等偏下难度的一般题材的文字材料译成汉语。理解正确，译文达意。</w:t>
      </w:r>
    </w:p>
    <w:p>
      <w:pPr>
        <w:pStyle w:val="5"/>
        <w:keepNext w:val="0"/>
        <w:keepLines w:val="0"/>
        <w:widowControl/>
        <w:suppressLineNumbers w:val="0"/>
        <w:spacing w:line="330" w:lineRule="atLeast"/>
        <w:jc w:val="left"/>
      </w:pPr>
      <w:r>
        <w:rPr>
          <w:rFonts w:hint="eastAsia" w:ascii="黑体" w:hAnsi="宋体" w:eastAsia="黑体" w:cs="黑体"/>
          <w:sz w:val="24"/>
          <w:szCs w:val="24"/>
        </w:rPr>
        <w:t>四、测试</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语言测试在考核英语知识的同时，应着重考核学生实际运用语言的能力，要做到科学、公平和规范。完成《基本要求》规定的教学任务后，采用“高等学校英语应用能力考试国家级试题库”的命题进行检测。检测分A、B两级（含笔试和口试）。</w:t>
      </w:r>
    </w:p>
    <w:p>
      <w:pPr>
        <w:pStyle w:val="5"/>
        <w:keepNext w:val="0"/>
        <w:keepLines w:val="0"/>
        <w:widowControl/>
        <w:suppressLineNumbers w:val="0"/>
        <w:spacing w:line="330" w:lineRule="atLeast"/>
        <w:jc w:val="left"/>
      </w:pPr>
      <w:r>
        <w:rPr>
          <w:rFonts w:hint="eastAsia" w:ascii="黑体" w:hAnsi="宋体" w:eastAsia="黑体" w:cs="黑体"/>
          <w:sz w:val="24"/>
          <w:szCs w:val="24"/>
        </w:rPr>
        <w:t>五、教学中需要注意的几个问题</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1.高职高专教育培养的是技术、生产、管理、服务等领域的高等应用性专门人才。英语课程不仅应打好语言基础，更要注重培养实际使用语言的技能，特别是使用英语处理日常和涉外业务活动的能力。</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3.重视语言学习的规律，正确处理听、说、读、写、译之间的关系，确保各项语言能力的协调发展。目前要特别注意加强听说技能的培养。</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4.考虑到目前学生入学英语水平的差异，教学和测试分A、B两级。对入学时未达到标准入学水平的学生应进行必要的补充训练，逐步使学生都能达到A级要求，以保证《基本要求》的全面落实。</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5.在完成《基本要求》规定的教学任务后，应结合专业学习，开设专业英语课程，这既可保证学生在校期间英语学习的连续性，又可使他们所学的英语得到实际的应用。</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6.正确处理测试和教学的关系。语言测试应着重考核学生实际运用语言的能力，防止应试教育。与此同时，科学的测试又能为教学改革和语言学习提供积极的反馈，是提高教学质量的必要保证。</w:t>
      </w:r>
    </w:p>
    <w:p>
      <w:pPr>
        <w:pStyle w:val="5"/>
        <w:keepNext w:val="0"/>
        <w:keepLines w:val="0"/>
        <w:widowControl/>
        <w:suppressLineNumbers w:val="0"/>
        <w:spacing w:line="330" w:lineRule="atLeast"/>
        <w:ind w:left="0" w:firstLine="480"/>
        <w:jc w:val="left"/>
      </w:pPr>
      <w:r>
        <w:rPr>
          <w:rFonts w:hint="default" w:ascii="仿宋_GB2312" w:hAnsi="宋体" w:eastAsia="仿宋_GB2312" w:cs="仿宋_GB2312"/>
          <w:sz w:val="24"/>
          <w:szCs w:val="24"/>
        </w:rPr>
        <w:t>7.积极引进和使用计算机多媒体、网络技术等现代化的教学手段，改善学校的英语教学条件。组织学生参加丰富多彩的英语课外活动，营造良好的英语学习氛围，激发学生学习英语的自觉性和积极性。</w:t>
      </w:r>
    </w:p>
    <w:p>
      <w:pPr>
        <w:pStyle w:val="5"/>
        <w:keepNext w:val="0"/>
        <w:keepLines w:val="0"/>
        <w:widowControl/>
        <w:suppressLineNumbers w:val="0"/>
        <w:spacing w:line="480" w:lineRule="atLeast"/>
        <w:jc w:val="left"/>
      </w:pPr>
      <w:r>
        <w:rPr>
          <w:rFonts w:hint="eastAsia" w:ascii="黑体" w:hAnsi="宋体" w:eastAsia="黑体" w:cs="黑体"/>
          <w:sz w:val="28"/>
          <w:szCs w:val="28"/>
        </w:rPr>
        <w:br w:type="page"/>
      </w:r>
      <w:r>
        <w:rPr>
          <w:rFonts w:hint="eastAsia" w:ascii="黑体" w:hAnsi="宋体" w:eastAsia="黑体" w:cs="黑体"/>
          <w:sz w:val="28"/>
          <w:szCs w:val="28"/>
        </w:rPr>
        <w:t>【附表一】</w:t>
      </w:r>
    </w:p>
    <w:p>
      <w:pPr>
        <w:pStyle w:val="5"/>
        <w:keepNext w:val="0"/>
        <w:keepLines w:val="0"/>
        <w:widowControl/>
        <w:suppressLineNumbers w:val="0"/>
        <w:spacing w:line="480" w:lineRule="atLeast"/>
        <w:jc w:val="center"/>
      </w:pPr>
      <w:r>
        <w:rPr>
          <w:rStyle w:val="8"/>
          <w:rFonts w:hint="eastAsia" w:ascii="宋体" w:hAnsi="宋体" w:eastAsia="宋体" w:cs="宋体"/>
          <w:sz w:val="28"/>
          <w:szCs w:val="28"/>
        </w:rPr>
        <w:t>交际范围表</w:t>
      </w:r>
    </w:p>
    <w:p>
      <w:pPr>
        <w:pStyle w:val="5"/>
        <w:keepNext w:val="0"/>
        <w:keepLines w:val="0"/>
        <w:widowControl/>
        <w:suppressLineNumbers w:val="0"/>
        <w:spacing w:line="480" w:lineRule="atLeast"/>
        <w:ind w:left="0" w:firstLine="480"/>
        <w:jc w:val="left"/>
      </w:pPr>
      <w:r>
        <w:rPr>
          <w:rFonts w:hint="eastAsia" w:ascii="宋体" w:hAnsi="宋体" w:eastAsia="宋体" w:cs="宋体"/>
          <w:sz w:val="24"/>
          <w:szCs w:val="24"/>
        </w:rPr>
        <w:t>一、制定本表的目的是明确英语教学的实用范围。本表列出了教学中学生应重点掌握和运用的交际内容，培养其具有初步的语言交际能力。</w:t>
      </w:r>
    </w:p>
    <w:p>
      <w:pPr>
        <w:pStyle w:val="5"/>
        <w:keepNext w:val="0"/>
        <w:keepLines w:val="0"/>
        <w:widowControl/>
        <w:suppressLineNumbers w:val="0"/>
        <w:spacing w:line="480" w:lineRule="atLeast"/>
        <w:ind w:left="0" w:firstLine="480"/>
        <w:jc w:val="left"/>
      </w:pPr>
      <w:r>
        <w:rPr>
          <w:rFonts w:hint="eastAsia" w:ascii="宋体" w:hAnsi="宋体" w:eastAsia="宋体" w:cs="宋体"/>
          <w:sz w:val="24"/>
          <w:szCs w:val="24"/>
        </w:rPr>
        <w:t>二、本表主要用于指导制定教学大纲、教材编写、测试设计等。</w:t>
      </w:r>
    </w:p>
    <w:p>
      <w:pPr>
        <w:pStyle w:val="5"/>
        <w:keepNext w:val="0"/>
        <w:keepLines w:val="0"/>
        <w:widowControl/>
        <w:suppressLineNumbers w:val="0"/>
        <w:spacing w:line="480" w:lineRule="atLeast"/>
        <w:ind w:left="0" w:firstLine="480"/>
        <w:jc w:val="left"/>
      </w:pPr>
      <w:r>
        <w:rPr>
          <w:rFonts w:hint="eastAsia" w:ascii="宋体" w:hAnsi="宋体" w:eastAsia="宋体" w:cs="宋体"/>
          <w:sz w:val="24"/>
          <w:szCs w:val="24"/>
        </w:rPr>
        <w:t>三、标*号者为A级要求。</w:t>
      </w:r>
    </w:p>
    <w:p>
      <w:pPr>
        <w:pStyle w:val="5"/>
        <w:keepNext w:val="0"/>
        <w:keepLines w:val="0"/>
        <w:widowControl/>
        <w:suppressLineNumbers w:val="0"/>
        <w:spacing w:line="560" w:lineRule="atLeast"/>
        <w:jc w:val="center"/>
      </w:pPr>
      <w:r>
        <w:rPr>
          <w:rStyle w:val="8"/>
          <w:rFonts w:hint="eastAsia" w:ascii="宋体" w:hAnsi="宋体" w:eastAsia="宋体" w:cs="宋体"/>
          <w:sz w:val="28"/>
          <w:szCs w:val="28"/>
        </w:rPr>
        <w:t>交际范围表</w:t>
      </w:r>
    </w:p>
    <w:tbl>
      <w:tblPr>
        <w:tblW w:w="5204"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626"/>
        <w:gridCol w:w="3327"/>
        <w:gridCol w:w="2172"/>
        <w:gridCol w:w="27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62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332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pPr>
            <w:r>
              <w:rPr>
                <w:rStyle w:val="8"/>
                <w:rFonts w:hint="eastAsia" w:ascii="宋体" w:hAnsi="宋体" w:eastAsia="宋体" w:cs="宋体"/>
                <w:sz w:val="24"/>
                <w:szCs w:val="24"/>
                <w:bdr w:val="none" w:color="auto" w:sz="0" w:space="0"/>
              </w:rPr>
              <w:t>听、说</w:t>
            </w:r>
          </w:p>
        </w:tc>
        <w:tc>
          <w:tcPr>
            <w:tcW w:w="217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pPr>
            <w:r>
              <w:rPr>
                <w:rStyle w:val="8"/>
                <w:rFonts w:hint="eastAsia" w:ascii="宋体" w:hAnsi="宋体" w:eastAsia="宋体" w:cs="宋体"/>
                <w:sz w:val="24"/>
                <w:szCs w:val="24"/>
                <w:bdr w:val="none" w:color="auto" w:sz="0" w:space="0"/>
              </w:rPr>
              <w:t>读、译</w:t>
            </w:r>
          </w:p>
        </w:tc>
        <w:tc>
          <w:tcPr>
            <w:tcW w:w="274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pPr>
            <w:r>
              <w:rPr>
                <w:rStyle w:val="8"/>
                <w:rFonts w:hint="eastAsia" w:ascii="宋体" w:hAnsi="宋体" w:eastAsia="宋体" w:cs="宋体"/>
                <w:sz w:val="24"/>
                <w:szCs w:val="24"/>
                <w:bdr w:val="none" w:color="auto" w:sz="0" w:space="0"/>
              </w:rPr>
              <w:t>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6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pPr>
            <w:r>
              <w:rPr>
                <w:rFonts w:hint="eastAsia" w:ascii="宋体" w:hAnsi="宋体" w:eastAsia="宋体" w:cs="宋体"/>
                <w:sz w:val="24"/>
                <w:szCs w:val="24"/>
                <w:bdr w:val="none" w:color="auto" w:sz="0" w:space="0"/>
              </w:rPr>
              <w:t>日常交际</w:t>
            </w:r>
          </w:p>
        </w:tc>
        <w:tc>
          <w:tcPr>
            <w:tcW w:w="3327"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1.课堂交流</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2.日常交际：介绍、问候、感谢、致歉、道别、指路；天气、学习、爱好、饮食、健康等。</w:t>
            </w:r>
          </w:p>
        </w:tc>
        <w:tc>
          <w:tcPr>
            <w:tcW w:w="2172"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阅读与翻译一般题材的文字材料，如：科普、人物、政治、商贸、文化、生活等。</w:t>
            </w:r>
          </w:p>
        </w:tc>
        <w:tc>
          <w:tcPr>
            <w:tcW w:w="274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日常题材的短文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6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pPr>
            <w:r>
              <w:rPr>
                <w:rFonts w:hint="eastAsia" w:ascii="宋体" w:hAnsi="宋体" w:eastAsia="宋体" w:cs="宋体"/>
                <w:sz w:val="24"/>
                <w:szCs w:val="24"/>
                <w:bdr w:val="none" w:color="auto" w:sz="0" w:space="0"/>
              </w:rPr>
              <w:t>业务交际</w:t>
            </w:r>
          </w:p>
        </w:tc>
        <w:tc>
          <w:tcPr>
            <w:tcW w:w="3327"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1.一般涉外活动</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1）迎送</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2）安排日程与活动</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3）安排住宿</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4）宴请与迎送会</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5）陪同购物、游览、就诊等</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2.一般涉外业务</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1）面试</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2）介绍公司/工厂：历史、现状</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*3）介绍产品：类型、性能、规格、市场等</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*4）业务洽谈：合作意向、投资意向、签定合同、人员培训、专家待遇、议价、折扣、佣金、订购、付款方式、交货日期、保险等</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*5）主持业务交流会议</w:t>
            </w:r>
          </w:p>
        </w:tc>
        <w:tc>
          <w:tcPr>
            <w:tcW w:w="2172"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1.业务信函、传真、电子邮件</w:t>
            </w:r>
          </w:p>
          <w:p>
            <w:pPr>
              <w:pStyle w:val="5"/>
              <w:keepNext w:val="0"/>
              <w:keepLines w:val="0"/>
              <w:widowControl/>
              <w:suppressLineNumbers w:val="0"/>
              <w:spacing w:line="320" w:lineRule="atLeast"/>
              <w:jc w:val="both"/>
            </w:pPr>
            <w:r>
              <w:rPr>
                <w:rFonts w:hint="eastAsia" w:ascii="宋体" w:hAnsi="宋体" w:eastAsia="宋体" w:cs="宋体"/>
                <w:sz w:val="24"/>
                <w:szCs w:val="24"/>
                <w:bdr w:val="none" w:color="auto" w:sz="0" w:space="0"/>
              </w:rPr>
              <w:t>2.广告</w:t>
            </w:r>
          </w:p>
          <w:p>
            <w:pPr>
              <w:pStyle w:val="5"/>
              <w:keepNext w:val="0"/>
              <w:keepLines w:val="0"/>
              <w:widowControl/>
              <w:suppressLineNumbers w:val="0"/>
              <w:spacing w:line="320" w:lineRule="atLeast"/>
              <w:jc w:val="both"/>
            </w:pPr>
            <w:r>
              <w:rPr>
                <w:rFonts w:hint="eastAsia" w:ascii="宋体" w:hAnsi="宋体" w:eastAsia="宋体" w:cs="宋体"/>
                <w:sz w:val="24"/>
                <w:szCs w:val="24"/>
                <w:bdr w:val="none" w:color="auto" w:sz="0" w:space="0"/>
              </w:rPr>
              <w:t>3.产品与厂家介绍</w:t>
            </w:r>
          </w:p>
          <w:p>
            <w:pPr>
              <w:pStyle w:val="5"/>
              <w:keepNext w:val="0"/>
              <w:keepLines w:val="0"/>
              <w:widowControl/>
              <w:suppressLineNumbers w:val="0"/>
              <w:spacing w:line="320" w:lineRule="atLeast"/>
              <w:jc w:val="both"/>
            </w:pPr>
            <w:r>
              <w:rPr>
                <w:rFonts w:hint="eastAsia" w:ascii="宋体" w:hAnsi="宋体" w:eastAsia="宋体" w:cs="宋体"/>
                <w:sz w:val="24"/>
                <w:szCs w:val="24"/>
                <w:bdr w:val="none" w:color="auto" w:sz="0" w:space="0"/>
              </w:rPr>
              <w:t>4.维护及使用说明</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*5.本专业书籍的前言、序言和正文节选</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*6.科技文摘</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*7.技术专利</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*8.招、投标书</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*9.合同、意向书</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*10.国际商务、进出口及保险等的单证</w:t>
            </w:r>
          </w:p>
        </w:tc>
        <w:tc>
          <w:tcPr>
            <w:tcW w:w="2745" w:type="dxa"/>
            <w:tcBorders>
              <w:top w:val="nil"/>
              <w:left w:val="nil"/>
              <w:bottom w:val="single" w:color="000000" w:sz="8" w:space="0"/>
              <w:right w:val="single" w:color="000000" w:sz="8" w:space="0"/>
            </w:tcBorders>
            <w:shd w:val="clear"/>
            <w:tcMar>
              <w:left w:w="108" w:type="dxa"/>
              <w:right w:w="108" w:type="dxa"/>
            </w:tcMar>
            <w:vAlign w:val="center"/>
          </w:tcPr>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1.表格填写</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1）个人资料表单</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*2）业务表单</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2.模拟套写</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1）名片、贺卡、通知等</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2）便条、邀请函及回函</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3）个人简历</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4）简短私人信函</w:t>
            </w:r>
          </w:p>
          <w:p>
            <w:pPr>
              <w:pStyle w:val="5"/>
              <w:keepNext w:val="0"/>
              <w:keepLines w:val="0"/>
              <w:widowControl/>
              <w:suppressLineNumbers w:val="0"/>
              <w:spacing w:line="320" w:lineRule="atLeast"/>
              <w:ind w:left="1" w:hanging="1"/>
              <w:jc w:val="left"/>
            </w:pPr>
            <w:r>
              <w:rPr>
                <w:rFonts w:hint="eastAsia" w:ascii="宋体" w:hAnsi="宋体" w:eastAsia="宋体" w:cs="宋体"/>
                <w:sz w:val="24"/>
                <w:szCs w:val="24"/>
              </w:rPr>
              <w:t>*5）简短业务信函</w:t>
            </w:r>
          </w:p>
          <w:p>
            <w:pPr>
              <w:pStyle w:val="5"/>
              <w:keepNext w:val="0"/>
              <w:keepLines w:val="0"/>
              <w:widowControl/>
              <w:suppressLineNumbers w:val="0"/>
              <w:spacing w:line="320" w:lineRule="atLeast"/>
              <w:ind w:left="1" w:hanging="1"/>
              <w:jc w:val="left"/>
            </w:pPr>
            <w:r>
              <w:rPr>
                <w:rFonts w:hint="eastAsia" w:ascii="宋体" w:hAnsi="宋体" w:eastAsia="宋体" w:cs="宋体"/>
                <w:sz w:val="24"/>
                <w:szCs w:val="24"/>
              </w:rPr>
              <w:t>*6）简短传真和电子邮件</w:t>
            </w:r>
          </w:p>
          <w:p>
            <w:pPr>
              <w:pStyle w:val="5"/>
              <w:keepNext w:val="0"/>
              <w:keepLines w:val="0"/>
              <w:widowControl/>
              <w:suppressLineNumbers w:val="0"/>
              <w:spacing w:line="320" w:lineRule="atLeast"/>
              <w:ind w:left="1" w:hanging="1"/>
              <w:jc w:val="left"/>
            </w:pPr>
            <w:r>
              <w:rPr>
                <w:rFonts w:hint="eastAsia" w:ascii="宋体" w:hAnsi="宋体" w:eastAsia="宋体" w:cs="宋体"/>
                <w:sz w:val="24"/>
                <w:szCs w:val="24"/>
              </w:rPr>
              <w:t>*7）简短广告</w:t>
            </w:r>
          </w:p>
          <w:p>
            <w:pPr>
              <w:pStyle w:val="5"/>
              <w:keepNext w:val="0"/>
              <w:keepLines w:val="0"/>
              <w:widowControl/>
              <w:suppressLineNumbers w:val="0"/>
              <w:spacing w:line="320" w:lineRule="atLeast"/>
              <w:ind w:left="1" w:hanging="1"/>
              <w:jc w:val="left"/>
            </w:pPr>
            <w:r>
              <w:rPr>
                <w:rFonts w:hint="eastAsia" w:ascii="宋体" w:hAnsi="宋体" w:eastAsia="宋体" w:cs="宋体"/>
                <w:sz w:val="24"/>
                <w:szCs w:val="24"/>
              </w:rPr>
              <w:t>*8）简短产品与厂家介绍</w:t>
            </w:r>
          </w:p>
          <w:p>
            <w:pPr>
              <w:pStyle w:val="5"/>
              <w:keepNext w:val="0"/>
              <w:keepLines w:val="0"/>
              <w:widowControl/>
              <w:suppressLineNumbers w:val="0"/>
              <w:spacing w:line="320" w:lineRule="atLeast"/>
              <w:jc w:val="left"/>
            </w:pPr>
            <w:r>
              <w:rPr>
                <w:rFonts w:hint="eastAsia" w:ascii="宋体" w:hAnsi="宋体" w:eastAsia="宋体" w:cs="宋体"/>
                <w:sz w:val="24"/>
                <w:szCs w:val="24"/>
                <w:bdr w:val="none" w:color="auto" w:sz="0" w:space="0"/>
              </w:rPr>
              <w:t>*9）简短产品维护及使用说明</w:t>
            </w:r>
          </w:p>
          <w:p>
            <w:pPr>
              <w:pStyle w:val="5"/>
              <w:keepNext w:val="0"/>
              <w:keepLines w:val="0"/>
              <w:widowControl/>
              <w:suppressLineNumbers w:val="0"/>
              <w:spacing w:line="320" w:lineRule="atLeast"/>
              <w:ind w:left="1" w:hanging="1"/>
              <w:jc w:val="left"/>
            </w:pPr>
            <w:r>
              <w:rPr>
                <w:rFonts w:hint="eastAsia" w:ascii="宋体" w:hAnsi="宋体" w:eastAsia="宋体" w:cs="宋体"/>
                <w:sz w:val="24"/>
                <w:szCs w:val="24"/>
              </w:rPr>
              <w:t>*10）合同</w:t>
            </w:r>
          </w:p>
        </w:tc>
      </w:tr>
    </w:tbl>
    <w:p>
      <w:pPr>
        <w:pStyle w:val="5"/>
        <w:keepNext w:val="0"/>
        <w:keepLines w:val="0"/>
        <w:widowControl/>
        <w:suppressLineNumbers w:val="0"/>
        <w:spacing w:line="480" w:lineRule="atLeast"/>
        <w:jc w:val="left"/>
      </w:pPr>
      <w:r>
        <w:rPr>
          <w:rFonts w:hint="eastAsia" w:ascii="黑体" w:hAnsi="宋体" w:eastAsia="黑体" w:cs="黑体"/>
          <w:sz w:val="28"/>
          <w:szCs w:val="28"/>
        </w:rPr>
        <w:br w:type="page"/>
      </w:r>
      <w:r>
        <w:rPr>
          <w:rFonts w:hint="eastAsia" w:ascii="黑体" w:hAnsi="宋体" w:eastAsia="黑体" w:cs="黑体"/>
          <w:sz w:val="28"/>
          <w:szCs w:val="28"/>
        </w:rPr>
        <w:t>【附表二】</w:t>
      </w:r>
    </w:p>
    <w:p>
      <w:pPr>
        <w:pStyle w:val="5"/>
        <w:keepNext w:val="0"/>
        <w:keepLines w:val="0"/>
        <w:widowControl/>
        <w:suppressLineNumbers w:val="0"/>
        <w:spacing w:line="480" w:lineRule="atLeast"/>
        <w:jc w:val="center"/>
      </w:pPr>
      <w:r>
        <w:rPr>
          <w:rFonts w:hint="eastAsia" w:ascii="黑体" w:hAnsi="宋体" w:eastAsia="黑体" w:cs="黑体"/>
          <w:sz w:val="30"/>
          <w:szCs w:val="30"/>
        </w:rPr>
        <w:t>语言技能表</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一、本表列出英语课程教学中学生应在语言技能方面达到的基本要求。</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二、本表列出的语言技能要求较为概括，在教材编写和实际教学中应对相关的语言技能进行必要的拓展和灵活处理。</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1.听的技能</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1）理解所听材料的主旨或要点</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2）理解具体信息</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3）理解所听材料的背景、说话人之间的关系等</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4）推断所听材料的含义</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2.说的技能</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1）模拟或套用常用口头交际句型，就日常生活和有关业务提出问题和简短回答</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2）交流有困难时能采取简单的应变措施</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3.阅读技能</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1）理解文章的主旨或要点</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2）理解文章中的具体信息</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3）根据上下文推断生词意思</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4）根据上下文作出简单的判断和推理</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5）理解文章的写作意图、作者的见解和态度等</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6）就文章内容作出结论</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7）快速查找有关信息</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4.翻译（英译汉）技能</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1）正确翻译一般语句，基本符合汉语习惯</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2）正确掌握被动句式的译法</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3）正确掌握倍数的译法</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4）正确掌握定语从句的译法</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5）正确掌握长句的译法</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5.写的技能</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1）正确使用所学的词、词组和句型</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2）语法及标点使用正确，句子结构完整</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3）句子意思清楚，符合逻辑顺序</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4）注意连贯性，正确使用连接手段：如first、second等</w:t>
      </w:r>
    </w:p>
    <w:p>
      <w:pPr>
        <w:pStyle w:val="5"/>
        <w:keepNext w:val="0"/>
        <w:keepLines w:val="0"/>
        <w:widowControl/>
        <w:suppressLineNumbers w:val="0"/>
        <w:spacing w:line="380" w:lineRule="atLeast"/>
        <w:ind w:left="0" w:firstLine="480"/>
        <w:jc w:val="left"/>
      </w:pPr>
      <w:r>
        <w:rPr>
          <w:rFonts w:hint="eastAsia" w:ascii="宋体" w:hAnsi="宋体" w:eastAsia="宋体" w:cs="宋体"/>
          <w:sz w:val="24"/>
          <w:szCs w:val="24"/>
        </w:rPr>
        <w:t>5）正确套用或使用常见的应用文格式</w:t>
      </w:r>
    </w:p>
    <w:p>
      <w:pPr>
        <w:pStyle w:val="5"/>
        <w:keepNext w:val="0"/>
        <w:keepLines w:val="0"/>
        <w:widowControl/>
        <w:suppressLineNumbers w:val="0"/>
        <w:spacing w:line="400" w:lineRule="atLeast"/>
        <w:jc w:val="left"/>
      </w:pPr>
      <w:r>
        <w:t> </w:t>
      </w:r>
    </w:p>
    <w:p>
      <w:pPr>
        <w:pStyle w:val="5"/>
        <w:keepNext w:val="0"/>
        <w:keepLines w:val="0"/>
        <w:widowControl/>
        <w:suppressLineNumbers w:val="0"/>
        <w:spacing w:line="400" w:lineRule="atLeast"/>
        <w:jc w:val="left"/>
      </w:pPr>
      <w:r>
        <w:rPr>
          <w:rFonts w:hint="default" w:ascii="仿宋_GB2312" w:hAnsi="宋体" w:eastAsia="仿宋_GB2312" w:cs="仿宋_GB2312"/>
          <w:sz w:val="32"/>
          <w:szCs w:val="32"/>
        </w:rPr>
        <w:t>附件5</w:t>
      </w:r>
    </w:p>
    <w:p>
      <w:pPr>
        <w:pStyle w:val="5"/>
        <w:keepNext w:val="0"/>
        <w:keepLines w:val="0"/>
        <w:widowControl/>
        <w:suppressLineNumbers w:val="0"/>
        <w:jc w:val="center"/>
      </w:pPr>
      <w:r>
        <w:rPr>
          <w:rFonts w:hint="eastAsia" w:ascii="黑体" w:hAnsi="宋体" w:eastAsia="黑体" w:cs="黑体"/>
          <w:sz w:val="32"/>
          <w:szCs w:val="32"/>
        </w:rPr>
        <w:t>“教育部学籍在线验证报告”申请方法步骤</w:t>
      </w:r>
    </w:p>
    <w:p>
      <w:pPr>
        <w:pStyle w:val="5"/>
        <w:keepNext w:val="0"/>
        <w:keepLines w:val="0"/>
        <w:widowControl/>
        <w:suppressLineNumbers w:val="0"/>
        <w:jc w:val="left"/>
      </w:pPr>
      <w: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FONT-FAMILY : 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620E7"/>
    <w:rsid w:val="61962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uiPriority w:val="0"/>
    <w:rPr>
      <w:color w:val="800080"/>
      <w:u w:val="none"/>
    </w:rPr>
  </w:style>
  <w:style w:type="character" w:styleId="10">
    <w:name w:val="Hyperlink"/>
    <w:basedOn w:val="7"/>
    <w:uiPriority w:val="0"/>
    <w:rPr>
      <w:color w:val="0000FF"/>
      <w:u w:val="none"/>
    </w:rPr>
  </w:style>
  <w:style w:type="character" w:customStyle="1" w:styleId="11">
    <w:name w:val="bsharetext"/>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2021-04-30T01:56:00Z</dcterms:created>
  <dc:creator>Administrator</dc:creator>
  <cp:lastModifiedBy>Administrator</cp:lastModifiedBy>
  <dcterms:modified xsi:type="dcterms:W3CDTF">2021-04-30T08:46:22Z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F2264CB4C2CC424FA602FAC753676CCB</vt:lpwstr>
  </property>
</Properties>
</file>