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sz w:val="32"/>
          <w:szCs w:val="32"/>
        </w:rPr>
      </w:pPr>
      <w:r>
        <w:rPr>
          <w:rFonts w:hint="eastAsia" w:ascii="黑体" w:hAnsi="黑体" w:eastAsia="黑体" w:cs="黑体"/>
          <w:b/>
          <w:sz w:val="32"/>
          <w:szCs w:val="32"/>
        </w:rPr>
        <w:t>202</w:t>
      </w:r>
      <w:r>
        <w:rPr>
          <w:rFonts w:ascii="黑体" w:hAnsi="黑体" w:eastAsia="黑体" w:cs="黑体"/>
          <w:b/>
          <w:sz w:val="32"/>
          <w:szCs w:val="32"/>
        </w:rPr>
        <w:t>2</w:t>
      </w:r>
      <w:r>
        <w:rPr>
          <w:rFonts w:hint="eastAsia" w:ascii="黑体" w:hAnsi="黑体" w:eastAsia="黑体" w:cs="黑体"/>
          <w:b/>
          <w:sz w:val="32"/>
          <w:szCs w:val="32"/>
        </w:rPr>
        <w:t>年专升本《中级财务会计》考试大纲</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一、总纲</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本大纲旨在规定课程学习、考试的内容和范围，是实施课程考试的重要依据，也是指导学生高效学习的纲领性文件，有助于考试标准的规范化和具体化。</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本大纲的制定旨在贯彻国家和安徽省的相关要求，依据有关政策文件，根据“宽口径、厚基础、强能力、高素质”的原则，实现培养会计专业中高级应用性人才的目标。考查内容以制造业企业日常生产经营活动过程为主线，围绕资产、负债、所有者权益、收入、费用和利润等会计要素变化情况的确认、计量和记录等内容展开，使学生具备坚实的会计核算的理论基础，能够掌握会计要素确认、计量、记录、报告的基本原则和方法，以及制造业企业主要交易、事项的会计实务处理与操作；理解会计处理的基本原理，能够做出合理的选择和判断；清楚会计政策对财务报告的影响，了解会计信息的经济后果。考试以会计相关理论知识为基础，强调课程的综合性和实践应用性，通过对各章节知识要点的扎实掌握和融会贯通实现创新性。</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二、学科考查内容纲要</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（一）考核目标与要求</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本课程考试参考书目：《中级财务会计》刘永泽、陈立军主编 东北财经大学出版社，20</w:t>
      </w:r>
      <w:r>
        <w:rPr>
          <w:rFonts w:ascii="仿宋" w:hAnsi="仿宋" w:eastAsia="仿宋"/>
          <w:bCs/>
          <w:sz w:val="28"/>
          <w:szCs w:val="28"/>
        </w:rPr>
        <w:t>21</w:t>
      </w:r>
      <w:r>
        <w:rPr>
          <w:rFonts w:hint="eastAsia" w:ascii="仿宋" w:hAnsi="仿宋" w:eastAsia="仿宋"/>
          <w:bCs/>
          <w:sz w:val="28"/>
          <w:szCs w:val="28"/>
        </w:rPr>
        <w:t>年第</w:t>
      </w:r>
      <w:r>
        <w:rPr>
          <w:rFonts w:ascii="仿宋" w:hAnsi="仿宋" w:eastAsia="仿宋"/>
          <w:bCs/>
          <w:sz w:val="28"/>
          <w:szCs w:val="28"/>
        </w:rPr>
        <w:t>7</w:t>
      </w:r>
      <w:r>
        <w:rPr>
          <w:rFonts w:hint="eastAsia" w:ascii="仿宋" w:hAnsi="仿宋" w:eastAsia="仿宋"/>
          <w:bCs/>
          <w:sz w:val="28"/>
          <w:szCs w:val="28"/>
        </w:rPr>
        <w:t>版</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中级财务会计》课程是会计学、财务管理和审计学专业的主干课程，其理论性和操作性都很强。它是在国际公认的现行财务会计理论结构框架的基础上，以我国经济环境和会计规范及实务为前提，依据我国企业会计准则，并借鉴国际会计准则及美国等西方发达国家的会计准则，采用国际通用的会计方法，通过对企业（尤其是制造业企业）日常经营活动所引起的资产、负债、所有者权益、收入、费用和利润等会计要素的变化情况进行确认、计量和记录，最终以财务报告的形式将其公开披露并传递给各种会计信息使用者，以满足他们了解企业财务状况、经营成果及财务状况变动情况等信息的要求。具体包括：</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1.能力目标</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能够简述我国企业会计准则及变迁过程及其重要意义；</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能够结合自身学习、生活、工作等实际对财务会计的理论前沿进行进一步研究；</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能够运用财务会计的相关知识对当前企业生产经营活动中发生的日常经济业务进行会计处理；</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能够掌握企业财务会计报告的编制方法。</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2.知识目标</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掌握财务会计的基本理论、基本知识和基本技能；</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熟悉中国企业会计准则的相关内容；</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掌握各种会计业务的账务处理方法；</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熟悉会计岗位的职责。</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3.素质目标</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培养学生具备较好的职业判断能力，良好的职业素养与技能；</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培养学生确立良好的职业道德观念；</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培养学生具备各个会计岗位的专业胜任能力；</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培养学生分析问题解决问题的能力，及在实践中不断创新的能力。</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（二）考试范围与要求</w:t>
      </w:r>
    </w:p>
    <w:p>
      <w:pPr>
        <w:ind w:firstLine="700" w:firstLineChars="250"/>
        <w:rPr>
          <w:rFonts w:ascii="仿宋" w:hAnsi="仿宋" w:eastAsia="仿宋"/>
          <w:bCs/>
          <w:sz w:val="28"/>
          <w:szCs w:val="28"/>
        </w:rPr>
      </w:pPr>
      <w:r>
        <w:rPr>
          <w:rFonts w:hint="eastAsia" w:ascii="仿宋" w:hAnsi="仿宋" w:eastAsia="仿宋"/>
          <w:bCs/>
          <w:sz w:val="28"/>
          <w:szCs w:val="28"/>
        </w:rPr>
        <w:t>考试范围主要围绕财务会计的基本理论及应用原则，会计要素的确认和计量方法，企业实务的会计核算方法及财务报表编制方法等主要内容展开。具体考查内容如下：</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第一章 总论</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第一节   财务会计及其特点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一、财务会计的特征（重点）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二、财务会计的目标（重点）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三、财务会计信息的使用者（一般）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四、财务会计信息的质量要求（重点）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五、社会环境对会计的影响（一般）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第二节   会计的基本假设和会计确认、计量的基础</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一、会计的基本假设（重点）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二、会计确认、计量的基础</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权责发生制基础（重点）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第三节   会计确认与计量</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一、会计确认（重点）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二、会计计量（重点）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第四节   财务报告要素（重点）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第二章   货币资金</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第一节   现金（重点）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第二节   银行存款（重点）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第三节   其他货币资金（一般）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第三章   存货</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第一节   存货及其分类（一般）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第二节   存货的初始计量</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一、外购的存货（重点）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二、自制的存货（一般）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三、委托加工的存货（一般）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四、投资者投入的存货（一般）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第三节   发出存货的计量</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一、存货成本流转假设（一般）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二、发出存货的计价方法（重点）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三、发出存货的会计处理（重点）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第四节   计划成本法</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一、计划成本法的基本核算程序（一般）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二、存货的取得及成本差异的形成（重点）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三、存货的发出及成本差异的分摊（重点）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第五节   存货的期末计量</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一、存货与可变现净值孰低法的含义（一般）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二、存货可变现净值的确定（一般）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三、材料存货的期末计量（重点）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四、存货跌价准备的会计处理方法（重点）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第六节   存货清查</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一、存货清查的意义与方法（一般）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二、存货盘盈与盘亏的会计处理（重点）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第四章   金融资产</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第一节   金融资产及其分类</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一、金融资产的内容（一般）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二、金融资产的分类（一般）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第二节   交易性金融资产（重点）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第三节   债权投资（一般）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第四节  应收款项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一、应收款项概述（重点）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二、应收款项的会计处理</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（一）应收账款（重点）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（二）应收票据（重点）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（三）预付账款（一般）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（四）其他应收款（一般）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（五）应收债权出售和融资（一般）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第五节  其他金融工具投资（略）</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第六节  金融资产的重分类（略）</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第七节  金融资产减值（略）</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第五章   长期股权投资</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第一节   长期股权投资的初始计量</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一、长期股权投资及其初始计量原则</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（一）长期股权投资的内容（一般）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（二）长期股权投资初始计量的原则（一般）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二、企业合并形成的长期股权投资（一般）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三、非企业合并方式取得的长期股权投资（一般）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第二节   长期股权投资的后续计量</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一、长期股权投资的成本法（一般）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二、长期股权投资的权益法（一般）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第三节   长期股权投资的转换（略）</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第四节   长期股权投资的处置</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一、长期股权投资处置损益的构成（一般）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二、处置长期股权投资的会计处理（一般）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第六章   固定资产</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第一节   固定资产概述</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一、固定资产的含义及特征（一般）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二、固定资产的分类（一般）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第二节   固定资产的初始计量</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一、固定资产的确认（一般）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二、固定资产的初始计量</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（一）外购固定资产（重点）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（二）自行建造固定资产（重点）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（三）投资转入固定资产（一般）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（四）租入固定资产（一般）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（五）接受捐赠的固定资产（一般）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（六）盘盈固定资产（重点）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第三节   固定资产的后续计量</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一、固定资产折旧（重点）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二、固定资产后续支出（一般）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第四节   固定资产处置（重点）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第七章   无形资产</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第一节   无形资产概述</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一、无形资产的含义及特征（一般）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二、无形资产的分类（重点）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三、无形资产的确认（一般）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第二节   无形资产的初始计量</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一、外购的无形资产（重点）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二、投资者投入的无形资产（重点）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三、政府补助取得的无形资产（一般）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 xml:space="preserve">第三节   </w:t>
      </w:r>
      <w:bookmarkStart w:id="0" w:name="_Hlk36920592"/>
      <w:r>
        <w:rPr>
          <w:rFonts w:hint="eastAsia" w:ascii="仿宋" w:hAnsi="仿宋" w:eastAsia="仿宋" w:cs="仿宋"/>
          <w:bCs/>
          <w:sz w:val="28"/>
          <w:szCs w:val="28"/>
        </w:rPr>
        <w:t>内部研究开发费用</w:t>
      </w:r>
      <w:bookmarkEnd w:id="0"/>
      <w:r>
        <w:rPr>
          <w:rFonts w:hint="eastAsia" w:ascii="仿宋" w:hAnsi="仿宋" w:eastAsia="仿宋" w:cs="仿宋"/>
          <w:bCs/>
          <w:sz w:val="28"/>
          <w:szCs w:val="28"/>
        </w:rPr>
        <w:t>的确认与计量（略）</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第四节   无形资产的后续计量</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一、无形资产使用寿命的确定与复核（一般）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二、无形资产摊销方法（一般）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三、无形资产摊销的账务处理（重点）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第五节   无形资产的处置</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一、无形资产的出售（重点）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二、无形资产的出租（重点）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三、无形资产的报废（一般）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第八章   投资性房地产（略）</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第九章   资产减值</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第一节   资产减值概述</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一、资产减值的含义（一般）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二、资产减值的确认（一般）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第二节   资产可回收金额的计量（略）</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第三节   资产减值损失的确认与计量</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一、资产减值损失确认与计量的一般原则（一般）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二、资产减值损失的账务处理（重点）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第四节   资产组的认定及减值处理（略）</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第五节   商誉减值测试及会计处理（略）</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第十章  负债</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第一节   负债概述（一般）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第二节   流动负债</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一、短期借款（重点）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二、应付票据（重点）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三、应付账款（重点）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四、预收账款（一般）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五、应付职工薪酬（重点）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六、应交税费（重点）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七、应付利息（一般）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八、应付股利（一般）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九、其他应付款（一般）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第三节   非流动负债</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一、长期借款（重点）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二、应付债券（一般）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三、长期应付款（略）</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四、递延收益（略）</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五、预计负债（略）</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第四节   借款费用（略）</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第十一章   所有者权益</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第一节   所有者权益概述</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一、企业组织形式（一般）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二、所有者权益的含义及构成（重点）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第二节   实收资本与其他权益工具</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一、实收资本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（一）实收资本的性质（一般）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（二）关于注册资本的主要法律规定（一般）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（三）实收资本的会计处理（重点）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二、其他权益工具（略）</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第三节   资本公积与其他综合收益</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一、资本公积的内容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（一）资本溢价（或股票溢价）（重点）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（二）其他资本公积（一般）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二、其他综合收益（一般）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第四节   留存收益</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一、留存收益的性质及构成（重点）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二、留存收益的会计处理（重点）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三、股利分配（一般）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四、股票分割（略）</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第十二章   费用（略）</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第十三章   收入和利润</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第一节   收入</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一、收入及其分类</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（一）收入的概念和特点（重点）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（二）收入的分类（重点）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二、收入确认与计量的基本方法（一般）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三、合同成本（一般）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四、销售业务的一般会计处理（重点）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五、销售折扣、折让与退回的会计处理</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（一）销售折扣（重点）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（二）销售折让（重点）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（三）销售退回（一般）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第二节   利润</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一、利润及其构成（重点）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二、利润的结转与分配（重点）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第十四章   财务报告</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第一节   财务报告概述（重点）</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第二节   资产负债表（一般）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第三节   利润表（一般）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第四节   现金流量表（略）</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第五节   所有者权益变动表（略）</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第六节   财务报表附注（一般）</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 xml:space="preserve">第七节   </w:t>
      </w:r>
      <w:bookmarkStart w:id="1" w:name="_Hlk36922089"/>
      <w:r>
        <w:rPr>
          <w:rFonts w:hint="eastAsia" w:ascii="仿宋" w:hAnsi="仿宋" w:eastAsia="仿宋" w:cs="仿宋"/>
          <w:bCs/>
          <w:sz w:val="28"/>
          <w:szCs w:val="28"/>
        </w:rPr>
        <w:t>中期财务报告</w:t>
      </w:r>
      <w:bookmarkEnd w:id="1"/>
      <w:r>
        <w:rPr>
          <w:rFonts w:hint="eastAsia" w:ascii="仿宋" w:hAnsi="仿宋" w:eastAsia="仿宋" w:cs="仿宋"/>
          <w:bCs/>
          <w:sz w:val="28"/>
          <w:szCs w:val="28"/>
        </w:rPr>
        <w:t>（略）</w:t>
      </w:r>
    </w:p>
    <w:p>
      <w:pPr>
        <w:spacing w:line="360" w:lineRule="auto"/>
        <w:rPr>
          <w:rFonts w:ascii="仿宋" w:hAnsi="仿宋" w:eastAsia="仿宋"/>
          <w:b/>
          <w:bCs/>
          <w:sz w:val="28"/>
          <w:szCs w:val="28"/>
        </w:rPr>
      </w:pPr>
    </w:p>
    <w:p>
      <w:pPr>
        <w:spacing w:line="360" w:lineRule="auto"/>
        <w:rPr>
          <w:rFonts w:ascii="仿宋" w:hAnsi="仿宋" w:eastAsia="仿宋"/>
          <w:b/>
          <w:bCs/>
          <w:sz w:val="28"/>
          <w:szCs w:val="28"/>
        </w:rPr>
      </w:pPr>
    </w:p>
    <w:p>
      <w:pPr>
        <w:spacing w:line="360" w:lineRule="auto"/>
        <w:rPr>
          <w:rFonts w:ascii="仿宋" w:hAnsi="仿宋" w:eastAsia="仿宋"/>
          <w:b/>
          <w:bCs/>
          <w:sz w:val="28"/>
          <w:szCs w:val="28"/>
        </w:rPr>
      </w:pPr>
    </w:p>
    <w:p>
      <w:pPr>
        <w:numPr>
          <w:ilvl w:val="0"/>
          <w:numId w:val="1"/>
        </w:numPr>
        <w:spacing w:line="360" w:lineRule="auto"/>
        <w:ind w:firstLine="562" w:firstLineChars="200"/>
        <w:rPr>
          <w:rFonts w:ascii="仿宋" w:hAnsi="仿宋" w:eastAsia="仿宋"/>
          <w:b/>
          <w:bCs/>
          <w:sz w:val="28"/>
          <w:szCs w:val="28"/>
        </w:rPr>
      </w:pPr>
      <w:r>
        <w:rPr>
          <w:rFonts w:hint="eastAsia" w:ascii="仿宋" w:hAnsi="仿宋" w:eastAsia="仿宋"/>
          <w:b/>
          <w:bCs/>
          <w:sz w:val="28"/>
          <w:szCs w:val="28"/>
        </w:rPr>
        <w:t>试题结构</w:t>
      </w:r>
    </w:p>
    <w:p>
      <w:pPr>
        <w:spacing w:line="360" w:lineRule="auto"/>
        <w:rPr>
          <w:rFonts w:ascii="仿宋" w:hAnsi="仿宋" w:eastAsia="仿宋" w:cs="仿宋"/>
          <w:b/>
          <w:bCs/>
          <w:sz w:val="28"/>
          <w:szCs w:val="28"/>
        </w:rPr>
      </w:pPr>
      <w:r>
        <w:rPr>
          <w:rFonts w:hint="eastAsia" w:ascii="仿宋" w:hAnsi="仿宋" w:eastAsia="仿宋" w:cs="仿宋"/>
          <w:sz w:val="28"/>
          <w:szCs w:val="28"/>
        </w:rPr>
        <w:t>（试卷总分为150分）</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2367"/>
        <w:gridCol w:w="2369"/>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序号</w:t>
            </w:r>
          </w:p>
        </w:tc>
        <w:tc>
          <w:tcPr>
            <w:tcW w:w="1389" w:type="pct"/>
          </w:tcPr>
          <w:p>
            <w:pPr>
              <w:spacing w:line="360" w:lineRule="auto"/>
              <w:jc w:val="center"/>
              <w:rPr>
                <w:rFonts w:ascii="仿宋" w:hAnsi="仿宋" w:eastAsia="仿宋" w:cs="仿宋"/>
                <w:bCs/>
                <w:sz w:val="28"/>
                <w:szCs w:val="28"/>
              </w:rPr>
            </w:pPr>
            <w:r>
              <w:rPr>
                <w:rFonts w:hint="eastAsia" w:ascii="仿宋" w:hAnsi="仿宋" w:eastAsia="仿宋" w:cs="仿宋"/>
                <w:bCs/>
                <w:sz w:val="28"/>
                <w:szCs w:val="28"/>
              </w:rPr>
              <w:t>题型</w:t>
            </w:r>
          </w:p>
        </w:tc>
        <w:tc>
          <w:tcPr>
            <w:tcW w:w="1390" w:type="pct"/>
          </w:tcPr>
          <w:p>
            <w:pPr>
              <w:spacing w:line="360" w:lineRule="auto"/>
              <w:jc w:val="center"/>
              <w:rPr>
                <w:rFonts w:ascii="仿宋" w:hAnsi="仿宋" w:eastAsia="仿宋" w:cs="仿宋"/>
                <w:bCs/>
                <w:sz w:val="28"/>
                <w:szCs w:val="28"/>
              </w:rPr>
            </w:pPr>
            <w:r>
              <w:rPr>
                <w:rFonts w:hint="eastAsia" w:ascii="仿宋" w:hAnsi="仿宋" w:eastAsia="仿宋" w:cs="仿宋"/>
                <w:bCs/>
                <w:sz w:val="28"/>
                <w:szCs w:val="28"/>
              </w:rPr>
              <w:t>题量</w:t>
            </w:r>
          </w:p>
        </w:tc>
        <w:tc>
          <w:tcPr>
            <w:tcW w:w="1391" w:type="pct"/>
            <w:vAlign w:val="top"/>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389" w:type="pct"/>
          </w:tcPr>
          <w:p>
            <w:pPr>
              <w:spacing w:line="360" w:lineRule="auto"/>
              <w:jc w:val="center"/>
              <w:rPr>
                <w:rFonts w:ascii="仿宋" w:hAnsi="仿宋" w:eastAsia="仿宋" w:cs="仿宋"/>
                <w:bCs/>
                <w:sz w:val="28"/>
                <w:szCs w:val="28"/>
              </w:rPr>
            </w:pPr>
            <w:r>
              <w:rPr>
                <w:rFonts w:hint="eastAsia" w:ascii="仿宋" w:hAnsi="仿宋" w:eastAsia="仿宋" w:cs="仿宋"/>
                <w:bCs/>
                <w:sz w:val="28"/>
                <w:szCs w:val="28"/>
              </w:rPr>
              <w:t>单项选择题</w:t>
            </w:r>
          </w:p>
        </w:tc>
        <w:tc>
          <w:tcPr>
            <w:tcW w:w="1390" w:type="pct"/>
          </w:tcPr>
          <w:p>
            <w:pPr>
              <w:spacing w:line="360" w:lineRule="auto"/>
              <w:jc w:val="center"/>
              <w:rPr>
                <w:rFonts w:ascii="仿宋" w:hAnsi="仿宋" w:eastAsia="仿宋" w:cs="仿宋"/>
                <w:bCs/>
                <w:sz w:val="28"/>
                <w:szCs w:val="28"/>
              </w:rPr>
            </w:pPr>
            <w:r>
              <w:rPr>
                <w:rFonts w:hint="eastAsia" w:ascii="仿宋" w:hAnsi="仿宋" w:eastAsia="仿宋" w:cs="仿宋"/>
                <w:bCs/>
                <w:sz w:val="28"/>
                <w:szCs w:val="28"/>
              </w:rPr>
              <w:t>10</w:t>
            </w:r>
          </w:p>
        </w:tc>
        <w:tc>
          <w:tcPr>
            <w:tcW w:w="1391" w:type="pct"/>
            <w:vAlign w:val="top"/>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1389" w:type="pct"/>
          </w:tcPr>
          <w:p>
            <w:pPr>
              <w:spacing w:line="360" w:lineRule="auto"/>
              <w:jc w:val="center"/>
              <w:rPr>
                <w:rFonts w:ascii="仿宋" w:hAnsi="仿宋" w:eastAsia="仿宋" w:cs="仿宋"/>
                <w:bCs/>
                <w:sz w:val="28"/>
                <w:szCs w:val="28"/>
              </w:rPr>
            </w:pPr>
            <w:r>
              <w:rPr>
                <w:rFonts w:hint="eastAsia" w:ascii="仿宋" w:hAnsi="仿宋" w:eastAsia="仿宋" w:cs="仿宋"/>
                <w:bCs/>
                <w:sz w:val="28"/>
                <w:szCs w:val="28"/>
              </w:rPr>
              <w:t>判断题</w:t>
            </w:r>
          </w:p>
        </w:tc>
        <w:tc>
          <w:tcPr>
            <w:tcW w:w="1390" w:type="pct"/>
          </w:tcPr>
          <w:p>
            <w:pPr>
              <w:spacing w:line="360" w:lineRule="auto"/>
              <w:jc w:val="center"/>
              <w:rPr>
                <w:rFonts w:ascii="仿宋" w:hAnsi="仿宋" w:eastAsia="仿宋" w:cs="仿宋"/>
                <w:bCs/>
                <w:sz w:val="28"/>
                <w:szCs w:val="28"/>
              </w:rPr>
            </w:pPr>
            <w:r>
              <w:rPr>
                <w:rFonts w:hint="eastAsia" w:ascii="仿宋" w:hAnsi="仿宋" w:eastAsia="仿宋" w:cs="仿宋"/>
                <w:bCs/>
                <w:sz w:val="28"/>
                <w:szCs w:val="28"/>
              </w:rPr>
              <w:t>10</w:t>
            </w:r>
          </w:p>
        </w:tc>
        <w:tc>
          <w:tcPr>
            <w:tcW w:w="1391" w:type="pct"/>
            <w:vAlign w:val="top"/>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1389" w:type="pct"/>
          </w:tcPr>
          <w:p>
            <w:pPr>
              <w:spacing w:line="360" w:lineRule="auto"/>
              <w:jc w:val="center"/>
              <w:rPr>
                <w:rFonts w:ascii="仿宋" w:hAnsi="仿宋" w:eastAsia="仿宋" w:cs="仿宋"/>
                <w:bCs/>
                <w:sz w:val="28"/>
                <w:szCs w:val="28"/>
              </w:rPr>
            </w:pPr>
            <w:r>
              <w:rPr>
                <w:rFonts w:hint="eastAsia" w:ascii="仿宋" w:hAnsi="仿宋" w:eastAsia="仿宋" w:cs="仿宋"/>
                <w:bCs/>
                <w:sz w:val="28"/>
                <w:szCs w:val="28"/>
              </w:rPr>
              <w:t>简答题</w:t>
            </w:r>
          </w:p>
        </w:tc>
        <w:tc>
          <w:tcPr>
            <w:tcW w:w="1390" w:type="pct"/>
          </w:tcPr>
          <w:p>
            <w:pPr>
              <w:spacing w:line="360" w:lineRule="auto"/>
              <w:jc w:val="center"/>
              <w:rPr>
                <w:rFonts w:ascii="仿宋" w:hAnsi="仿宋" w:eastAsia="仿宋" w:cs="仿宋"/>
                <w:bCs/>
                <w:sz w:val="28"/>
                <w:szCs w:val="28"/>
              </w:rPr>
            </w:pPr>
            <w:r>
              <w:rPr>
                <w:rFonts w:hint="eastAsia" w:ascii="仿宋" w:hAnsi="仿宋" w:eastAsia="仿宋" w:cs="仿宋"/>
                <w:bCs/>
                <w:sz w:val="28"/>
                <w:szCs w:val="28"/>
              </w:rPr>
              <w:t>2</w:t>
            </w:r>
          </w:p>
        </w:tc>
        <w:tc>
          <w:tcPr>
            <w:tcW w:w="1391" w:type="pct"/>
            <w:vAlign w:val="top"/>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4</w:t>
            </w:r>
          </w:p>
        </w:tc>
        <w:tc>
          <w:tcPr>
            <w:tcW w:w="1389" w:type="pct"/>
          </w:tcPr>
          <w:p>
            <w:pPr>
              <w:spacing w:line="360" w:lineRule="auto"/>
              <w:jc w:val="center"/>
              <w:rPr>
                <w:rFonts w:ascii="仿宋" w:hAnsi="仿宋" w:eastAsia="仿宋" w:cs="仿宋"/>
                <w:bCs/>
                <w:sz w:val="28"/>
                <w:szCs w:val="28"/>
              </w:rPr>
            </w:pPr>
            <w:r>
              <w:rPr>
                <w:rFonts w:hint="eastAsia" w:ascii="仿宋" w:hAnsi="仿宋" w:eastAsia="仿宋" w:cs="仿宋"/>
                <w:bCs/>
                <w:sz w:val="28"/>
                <w:szCs w:val="28"/>
              </w:rPr>
              <w:t>计算题</w:t>
            </w:r>
          </w:p>
        </w:tc>
        <w:tc>
          <w:tcPr>
            <w:tcW w:w="1390" w:type="pct"/>
          </w:tcPr>
          <w:p>
            <w:pPr>
              <w:spacing w:line="360" w:lineRule="auto"/>
              <w:jc w:val="center"/>
              <w:rPr>
                <w:rFonts w:ascii="仿宋" w:hAnsi="仿宋" w:eastAsia="仿宋" w:cs="仿宋"/>
                <w:bCs/>
                <w:sz w:val="28"/>
                <w:szCs w:val="28"/>
              </w:rPr>
            </w:pPr>
            <w:r>
              <w:rPr>
                <w:rFonts w:hint="eastAsia" w:ascii="仿宋" w:hAnsi="仿宋" w:eastAsia="仿宋" w:cs="仿宋"/>
                <w:bCs/>
                <w:sz w:val="28"/>
                <w:szCs w:val="28"/>
              </w:rPr>
              <w:t>1</w:t>
            </w:r>
          </w:p>
        </w:tc>
        <w:tc>
          <w:tcPr>
            <w:tcW w:w="1391" w:type="pct"/>
            <w:vAlign w:val="top"/>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1389" w:type="pct"/>
          </w:tcPr>
          <w:p>
            <w:pPr>
              <w:spacing w:line="360" w:lineRule="auto"/>
              <w:jc w:val="center"/>
              <w:rPr>
                <w:rFonts w:ascii="仿宋" w:hAnsi="仿宋" w:eastAsia="仿宋" w:cs="仿宋"/>
                <w:bCs/>
                <w:sz w:val="28"/>
                <w:szCs w:val="28"/>
              </w:rPr>
            </w:pPr>
            <w:r>
              <w:rPr>
                <w:rFonts w:hint="eastAsia" w:ascii="仿宋" w:hAnsi="仿宋" w:eastAsia="仿宋" w:cs="仿宋"/>
                <w:bCs/>
                <w:sz w:val="28"/>
                <w:szCs w:val="28"/>
              </w:rPr>
              <w:t>业务题</w:t>
            </w:r>
          </w:p>
        </w:tc>
        <w:tc>
          <w:tcPr>
            <w:tcW w:w="1390" w:type="pct"/>
          </w:tcPr>
          <w:p>
            <w:pPr>
              <w:spacing w:line="360" w:lineRule="auto"/>
              <w:jc w:val="center"/>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rPr>
              <w:t>0</w:t>
            </w:r>
          </w:p>
        </w:tc>
        <w:tc>
          <w:tcPr>
            <w:tcW w:w="1391" w:type="pct"/>
            <w:vAlign w:val="top"/>
          </w:tcPr>
          <w:p>
            <w:pPr>
              <w:spacing w:line="360" w:lineRule="auto"/>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40</w:t>
            </w:r>
          </w:p>
        </w:tc>
      </w:tr>
    </w:tbl>
    <w:p>
      <w:pPr>
        <w:spacing w:line="360" w:lineRule="auto"/>
        <w:rPr>
          <w:rFonts w:ascii="宋体" w:hAnsi="宋体"/>
          <w:bCs/>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1684125"/>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B87D8"/>
    <w:multiLevelType w:val="singleLevel"/>
    <w:tmpl w:val="1CBB87D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F89"/>
    <w:rsid w:val="000E1E72"/>
    <w:rsid w:val="001805BB"/>
    <w:rsid w:val="00184101"/>
    <w:rsid w:val="0026562F"/>
    <w:rsid w:val="002A2A6E"/>
    <w:rsid w:val="003350D9"/>
    <w:rsid w:val="003D070A"/>
    <w:rsid w:val="003D32BB"/>
    <w:rsid w:val="00571030"/>
    <w:rsid w:val="00582437"/>
    <w:rsid w:val="005D0921"/>
    <w:rsid w:val="006651B1"/>
    <w:rsid w:val="006720CB"/>
    <w:rsid w:val="00675334"/>
    <w:rsid w:val="00696974"/>
    <w:rsid w:val="006B52E7"/>
    <w:rsid w:val="006D5D75"/>
    <w:rsid w:val="00721ECD"/>
    <w:rsid w:val="00730E5F"/>
    <w:rsid w:val="00734EA1"/>
    <w:rsid w:val="00743959"/>
    <w:rsid w:val="007722CA"/>
    <w:rsid w:val="007C2232"/>
    <w:rsid w:val="007C2D5E"/>
    <w:rsid w:val="007D5392"/>
    <w:rsid w:val="008030C3"/>
    <w:rsid w:val="00805014"/>
    <w:rsid w:val="00843ADD"/>
    <w:rsid w:val="008614EE"/>
    <w:rsid w:val="00862838"/>
    <w:rsid w:val="008F37CA"/>
    <w:rsid w:val="009369FA"/>
    <w:rsid w:val="00994952"/>
    <w:rsid w:val="009B7650"/>
    <w:rsid w:val="009C6D75"/>
    <w:rsid w:val="00A114B5"/>
    <w:rsid w:val="00A26B9E"/>
    <w:rsid w:val="00A44E6A"/>
    <w:rsid w:val="00AC60E1"/>
    <w:rsid w:val="00B17F89"/>
    <w:rsid w:val="00B201D8"/>
    <w:rsid w:val="00B2385D"/>
    <w:rsid w:val="00B416E2"/>
    <w:rsid w:val="00B47F4F"/>
    <w:rsid w:val="00B53D31"/>
    <w:rsid w:val="00C23FD7"/>
    <w:rsid w:val="00CB4E67"/>
    <w:rsid w:val="00CD7E11"/>
    <w:rsid w:val="00D11FBF"/>
    <w:rsid w:val="00D640BC"/>
    <w:rsid w:val="00D866D3"/>
    <w:rsid w:val="00DA4256"/>
    <w:rsid w:val="00DF5C5E"/>
    <w:rsid w:val="00E17121"/>
    <w:rsid w:val="00EB613C"/>
    <w:rsid w:val="00EE63E1"/>
    <w:rsid w:val="00F620F1"/>
    <w:rsid w:val="00FA00B9"/>
    <w:rsid w:val="00FA71C8"/>
    <w:rsid w:val="00FE0F3B"/>
    <w:rsid w:val="01515F01"/>
    <w:rsid w:val="099C3E75"/>
    <w:rsid w:val="16CE2C52"/>
    <w:rsid w:val="1C9D3768"/>
    <w:rsid w:val="2247635E"/>
    <w:rsid w:val="26DC69FB"/>
    <w:rsid w:val="3AEC20C3"/>
    <w:rsid w:val="57066674"/>
    <w:rsid w:val="59901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0"/>
    <w:pPr>
      <w:spacing w:before="100" w:beforeAutospacing="1" w:after="100" w:afterAutospacing="1"/>
      <w:jc w:val="left"/>
    </w:pPr>
    <w:rPr>
      <w:rFonts w:ascii="Calibri" w:hAnsi="Calibri"/>
      <w:kern w:val="0"/>
      <w:sz w:val="24"/>
    </w:r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批注框文本 Char"/>
    <w:basedOn w:val="7"/>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609</Words>
  <Characters>3477</Characters>
  <Lines>28</Lines>
  <Paragraphs>8</Paragraphs>
  <TotalTime>0</TotalTime>
  <ScaleCrop>false</ScaleCrop>
  <LinksUpToDate>false</LinksUpToDate>
  <CharactersWithSpaces>4078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2022-02-27T08:52:00Z</dcterms:created>
  <dc:creator>张 钰</dc:creator>
  <cp:lastModifiedBy>李哲源</cp:lastModifiedBy>
  <dcterms:modified xsi:type="dcterms:W3CDTF">2022-03-04T06:30:43Z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2A344EC211F64DFEAA333718554710F7</vt:lpwstr>
  </property>
</Properties>
</file>