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</w:rPr>
      </w:pPr>
      <w:r>
        <w:rPr>
          <w:rFonts w:hint="eastAsia" w:ascii="黑体" w:hAnsi="黑体" w:eastAsia="黑体" w:cs="黑体"/>
          <w:b w:val="0"/>
          <w:bCs w:val="0"/>
          <w:sz w:val="36"/>
        </w:rPr>
        <w:t>房地产开发与管理专业综合课考试大纲</w:t>
      </w: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I.考试性质与试题命制的原则</w:t>
      </w:r>
    </w:p>
    <w:p>
      <w:pPr>
        <w:numPr>
          <w:ilvl w:val="0"/>
          <w:numId w:val="1"/>
        </w:num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考试性质</w:t>
      </w:r>
    </w:p>
    <w:p>
      <w:pPr>
        <w:spacing w:line="360" w:lineRule="auto"/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《</w:t>
      </w:r>
      <w:r>
        <w:rPr>
          <w:rFonts w:hint="eastAsia"/>
          <w:szCs w:val="21"/>
          <w:lang w:val="en-US" w:eastAsia="zh-CN"/>
        </w:rPr>
        <w:t>房地产开发与经营</w:t>
      </w:r>
      <w:r>
        <w:rPr>
          <w:rFonts w:hint="eastAsia"/>
          <w:szCs w:val="21"/>
        </w:rPr>
        <w:t>》是普通高等学校</w:t>
      </w:r>
      <w:r>
        <w:rPr>
          <w:rFonts w:hint="eastAsia"/>
          <w:szCs w:val="21"/>
          <w:lang w:val="en-US" w:eastAsia="zh-CN"/>
        </w:rPr>
        <w:t>房地产开发与管理</w:t>
      </w:r>
      <w:r>
        <w:rPr>
          <w:rFonts w:hint="eastAsia"/>
          <w:szCs w:val="21"/>
        </w:rPr>
        <w:t>专业</w:t>
      </w:r>
      <w:r>
        <w:rPr>
          <w:rFonts w:hint="eastAsia"/>
          <w:szCs w:val="21"/>
          <w:lang w:eastAsia="zh-CN"/>
        </w:rPr>
        <w:t>普通专升本</w:t>
      </w:r>
      <w:r>
        <w:rPr>
          <w:rFonts w:hint="eastAsia"/>
          <w:szCs w:val="21"/>
        </w:rPr>
        <w:t>专业</w:t>
      </w:r>
      <w:r>
        <w:rPr>
          <w:rFonts w:hint="eastAsia"/>
          <w:szCs w:val="21"/>
          <w:lang w:eastAsia="zh-CN"/>
        </w:rPr>
        <w:t>综合</w:t>
      </w:r>
      <w:r>
        <w:rPr>
          <w:rFonts w:hint="eastAsia"/>
          <w:szCs w:val="21"/>
        </w:rPr>
        <w:t>课考试科目，</w:t>
      </w:r>
      <w:r>
        <w:rPr>
          <w:szCs w:val="21"/>
        </w:rPr>
        <w:t>是</w:t>
      </w:r>
      <w:r>
        <w:rPr>
          <w:rFonts w:hint="eastAsia"/>
          <w:szCs w:val="21"/>
        </w:rPr>
        <w:t>本</w:t>
      </w:r>
      <w:r>
        <w:rPr>
          <w:szCs w:val="21"/>
        </w:rPr>
        <w:t>专业的基础理论课程，主要内容包括</w:t>
      </w:r>
      <w:r>
        <w:rPr>
          <w:rFonts w:hint="eastAsia" w:eastAsia="宋体"/>
          <w:szCs w:val="21"/>
          <w:lang w:val="en-US" w:eastAsia="zh-CN"/>
        </w:rPr>
        <w:t>房地产开发、经营的基本概念与内容</w:t>
      </w:r>
      <w:r>
        <w:rPr>
          <w:rFonts w:hint="eastAsia"/>
          <w:szCs w:val="21"/>
        </w:rPr>
        <w:t>，详细分析了</w:t>
      </w:r>
      <w:bookmarkStart w:id="0" w:name="_GoBack"/>
      <w:bookmarkEnd w:id="0"/>
      <w:r>
        <w:rPr>
          <w:rFonts w:hint="eastAsia" w:eastAsia="宋体"/>
          <w:szCs w:val="21"/>
          <w:lang w:val="en-US" w:eastAsia="zh-CN"/>
        </w:rPr>
        <w:t>房地产开发用地的获取、方案设计、可研编制、项目融资、报建、项目管理等房地产开发的全过程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房地产开发经营战略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市场营销</w:t>
      </w:r>
      <w:r>
        <w:rPr>
          <w:rFonts w:hint="eastAsia" w:eastAsia="宋体"/>
          <w:szCs w:val="21"/>
          <w:lang w:val="en-US" w:eastAsia="zh-CN"/>
        </w:rPr>
        <w:t>以及物业管理的基本内容</w:t>
      </w:r>
      <w:r>
        <w:rPr>
          <w:rFonts w:hint="eastAsia"/>
          <w:szCs w:val="21"/>
        </w:rPr>
        <w:t>。该课程的考试目的是：准确、简明地考核考生对《房地产开发与经营》的基本知识、基础理论、基本规律、分析方法的理解水平和掌握程度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要求学生</w:t>
      </w:r>
      <w:r>
        <w:rPr>
          <w:szCs w:val="21"/>
        </w:rPr>
        <w:t>具有综合运用所学知识分析和解决实际问题的能力</w:t>
      </w:r>
      <w:r>
        <w:rPr>
          <w:rFonts w:hint="eastAsia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试题命制的原则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1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根据《</w:t>
      </w:r>
      <w:r>
        <w:rPr>
          <w:rFonts w:hint="eastAsia"/>
          <w:szCs w:val="21"/>
          <w:lang w:val="en-US" w:eastAsia="zh-CN"/>
        </w:rPr>
        <w:t>房地产开发与经营</w:t>
      </w:r>
      <w:r>
        <w:rPr>
          <w:rFonts w:hint="eastAsia"/>
          <w:szCs w:val="21"/>
        </w:rPr>
        <w:t>》的基本教学要求，考试命题具有一定的覆盖面且重点突出，侧重考核考生对本学科的基础理论、基本知识和基本技能的掌握程度，以及运用所学知识解决实际问题的能力。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作为一项选拔性考试，</w:t>
      </w:r>
      <w:r>
        <w:rPr>
          <w:rFonts w:hint="eastAsia"/>
          <w:szCs w:val="21"/>
          <w:lang w:val="en-US" w:eastAsia="zh-CN"/>
        </w:rPr>
        <w:t>房地产开发与管理</w:t>
      </w:r>
      <w:r>
        <w:rPr>
          <w:rFonts w:hint="eastAsia"/>
          <w:szCs w:val="21"/>
        </w:rPr>
        <w:t>专业</w:t>
      </w:r>
      <w:r>
        <w:rPr>
          <w:rFonts w:hint="eastAsia"/>
          <w:szCs w:val="21"/>
          <w:lang w:eastAsia="zh-CN"/>
        </w:rPr>
        <w:t>普通专升本</w:t>
      </w:r>
      <w:r>
        <w:rPr>
          <w:rFonts w:hint="eastAsia"/>
          <w:szCs w:val="21"/>
        </w:rPr>
        <w:t>《</w:t>
      </w:r>
      <w:r>
        <w:rPr>
          <w:rFonts w:hint="eastAsia"/>
          <w:szCs w:val="21"/>
          <w:lang w:val="en-US" w:eastAsia="zh-CN"/>
        </w:rPr>
        <w:t>房地产开发与经营</w:t>
      </w:r>
      <w:r>
        <w:rPr>
          <w:rFonts w:hint="eastAsia"/>
          <w:szCs w:val="21"/>
        </w:rPr>
        <w:t>》考试试题在设计上具有必要的区分度和合理的难度系数。</w:t>
      </w: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Ⅱ.考试形式及试卷结构</w:t>
      </w:r>
    </w:p>
    <w:p>
      <w:pPr>
        <w:pStyle w:val="5"/>
        <w:spacing w:line="360" w:lineRule="auto"/>
        <w:ind w:firstLine="420" w:firstLineChars="200"/>
        <w:rPr>
          <w:sz w:val="21"/>
        </w:rPr>
      </w:pPr>
      <w:r>
        <w:rPr>
          <w:rFonts w:hint="eastAsia"/>
          <w:sz w:val="21"/>
        </w:rPr>
        <w:t>1、考试形式为闭卷、笔试，考试时间为1</w:t>
      </w:r>
      <w:r>
        <w:rPr>
          <w:rFonts w:hint="eastAsia"/>
          <w:sz w:val="21"/>
          <w:lang w:val="en-US" w:eastAsia="zh-CN"/>
        </w:rPr>
        <w:t>5</w:t>
      </w:r>
      <w:r>
        <w:rPr>
          <w:rFonts w:hint="eastAsia"/>
          <w:sz w:val="21"/>
        </w:rPr>
        <w:t>0分钟，试卷满分为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</w:rPr>
        <w:t>00分。</w:t>
      </w:r>
    </w:p>
    <w:p>
      <w:pPr>
        <w:pStyle w:val="5"/>
        <w:spacing w:line="360" w:lineRule="auto"/>
        <w:ind w:firstLine="315"/>
        <w:rPr>
          <w:sz w:val="21"/>
        </w:rPr>
      </w:pPr>
      <w:r>
        <w:rPr>
          <w:rFonts w:hint="eastAsia"/>
          <w:sz w:val="21"/>
        </w:rPr>
        <w:t xml:space="preserve"> 2、试卷能力层次结构的分数比例为：识记占30%，理解占40%，应用占30%。</w:t>
      </w:r>
    </w:p>
    <w:p>
      <w:pPr>
        <w:pStyle w:val="5"/>
        <w:spacing w:line="360" w:lineRule="auto"/>
        <w:ind w:firstLine="315"/>
        <w:rPr>
          <w:sz w:val="21"/>
        </w:rPr>
      </w:pPr>
      <w:r>
        <w:rPr>
          <w:rFonts w:hint="eastAsia"/>
          <w:sz w:val="21"/>
        </w:rPr>
        <w:t xml:space="preserve"> 3、试卷的难度结构：试题难易度分为易、较易、较难、难四个等级，其分数比例为：易约占20%，较易约占30%，较难约占3</w:t>
      </w:r>
      <w:r>
        <w:rPr>
          <w:rFonts w:hint="eastAsia"/>
          <w:sz w:val="21"/>
          <w:lang w:val="en-US" w:eastAsia="zh-CN"/>
        </w:rPr>
        <w:t>0</w:t>
      </w:r>
      <w:r>
        <w:rPr>
          <w:rFonts w:hint="eastAsia"/>
          <w:sz w:val="21"/>
        </w:rPr>
        <w:t>%，难约占</w:t>
      </w:r>
      <w:r>
        <w:rPr>
          <w:rFonts w:hint="eastAsia"/>
          <w:sz w:val="21"/>
          <w:lang w:val="en-US" w:eastAsia="zh-CN"/>
        </w:rPr>
        <w:t>20</w:t>
      </w:r>
      <w:r>
        <w:rPr>
          <w:rFonts w:hint="eastAsia"/>
          <w:sz w:val="21"/>
        </w:rPr>
        <w:t>%。</w:t>
      </w:r>
    </w:p>
    <w:p>
      <w:pPr>
        <w:pStyle w:val="5"/>
        <w:spacing w:line="360" w:lineRule="auto"/>
        <w:ind w:firstLine="315"/>
        <w:rPr>
          <w:sz w:val="21"/>
        </w:rPr>
      </w:pPr>
      <w:r>
        <w:rPr>
          <w:rFonts w:hint="eastAsia"/>
          <w:sz w:val="21"/>
        </w:rPr>
        <w:t xml:space="preserve"> 4、试卷的题型结构：名词解释（20%）、填空题（10%）、简答题（30%）、论述题（2</w:t>
      </w:r>
      <w:r>
        <w:rPr>
          <w:rFonts w:hint="eastAsia"/>
          <w:sz w:val="21"/>
          <w:lang w:val="en-US" w:eastAsia="zh-CN"/>
        </w:rPr>
        <w:t>0</w:t>
      </w:r>
      <w:r>
        <w:rPr>
          <w:rFonts w:hint="eastAsia"/>
          <w:sz w:val="21"/>
        </w:rPr>
        <w:t>%）、分析题（</w:t>
      </w:r>
      <w:r>
        <w:rPr>
          <w:rFonts w:hint="eastAsia"/>
          <w:sz w:val="21"/>
          <w:lang w:val="en-US" w:eastAsia="zh-CN"/>
        </w:rPr>
        <w:t>10</w:t>
      </w:r>
      <w:r>
        <w:rPr>
          <w:rFonts w:hint="eastAsia"/>
          <w:sz w:val="21"/>
        </w:rPr>
        <w:t>%）、计算题（</w:t>
      </w:r>
      <w:r>
        <w:rPr>
          <w:rFonts w:hint="eastAsia"/>
          <w:sz w:val="21"/>
          <w:lang w:val="en-US" w:eastAsia="zh-CN"/>
        </w:rPr>
        <w:t>10</w:t>
      </w:r>
      <w:r>
        <w:rPr>
          <w:rFonts w:hint="eastAsia"/>
          <w:sz w:val="21"/>
        </w:rPr>
        <w:t>%）六种题型。(各种题型的具体样式参见题型示例)</w:t>
      </w: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Ⅲ.考核内容和要求</w:t>
      </w:r>
    </w:p>
    <w:p>
      <w:pPr>
        <w:spacing w:line="360" w:lineRule="auto"/>
        <w:ind w:firstLine="420"/>
        <w:rPr>
          <w:rFonts w:ascii="宋体" w:hAnsi="宋体"/>
        </w:rPr>
      </w:pPr>
      <w:r>
        <w:rPr>
          <w:rFonts w:hint="eastAsia" w:ascii="宋体" w:hAnsi="宋体"/>
        </w:rPr>
        <w:t>下面分章节列出《</w:t>
      </w:r>
      <w:r>
        <w:rPr>
          <w:rFonts w:hint="eastAsia"/>
          <w:szCs w:val="21"/>
          <w:lang w:val="en-US" w:eastAsia="zh-CN"/>
        </w:rPr>
        <w:t>房地产开发与经营</w:t>
      </w:r>
      <w:r>
        <w:rPr>
          <w:rFonts w:hint="eastAsia" w:ascii="宋体" w:hAnsi="宋体"/>
        </w:rPr>
        <w:t>》的考核内容及要求，其考试目标要求分为识记、理解、应用三类：识记是要求记住有关基本知识；理解是要求能够领会知识要点，掌握其内在联系；应用是指能够运用有关知识分析和解决实际问题。</w:t>
      </w: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第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1</w:t>
      </w:r>
      <w:r>
        <w:rPr>
          <w:rFonts w:hint="eastAsia" w:ascii="宋体" w:hAnsi="宋体"/>
          <w:b w:val="0"/>
          <w:bCs/>
          <w:szCs w:val="21"/>
        </w:rPr>
        <w:t>章 绪论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1.1</w:t>
      </w:r>
      <w:r>
        <w:rPr>
          <w:rFonts w:hint="eastAsia" w:ascii="宋体" w:hAnsi="宋体"/>
          <w:b w:val="0"/>
          <w:bCs/>
          <w:szCs w:val="21"/>
        </w:rPr>
        <w:t xml:space="preserve"> 房地产开发与经营的基本含义及其特点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1.2</w:t>
      </w:r>
      <w:r>
        <w:rPr>
          <w:rFonts w:hint="eastAsia" w:ascii="宋体" w:hAnsi="宋体"/>
          <w:b w:val="0"/>
          <w:bCs/>
          <w:szCs w:val="21"/>
        </w:rPr>
        <w:t xml:space="preserve"> 房地产开发与经营的形式、内容与程序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1.3</w:t>
      </w:r>
      <w:r>
        <w:rPr>
          <w:rFonts w:hint="eastAsia" w:ascii="宋体" w:hAnsi="宋体"/>
          <w:b w:val="0"/>
          <w:bCs/>
          <w:szCs w:val="21"/>
        </w:rPr>
        <w:t xml:space="preserve"> 房地产开发与经营学科的建设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第2章 房地产开发与经营的理论、策略和决策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2.1 房地产开发与经营理论概述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2.2 房地产开发与经营策略分析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2.3 房地产开发与经营决策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第3章 房地产企业</w:t>
      </w: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3.1 房地产企业概述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3.2 房地产企业的设立条件与资质等级管理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3.3 房地产从业人员的职业资格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3.4 房地产企业的组织结构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3.5 房地产企业的计划管理与战略管理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3.6 房地产行业自律管理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第4章 房地产项目及项目定位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4.1 土地储备和一级开发项目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4.2 房地产综合开发项目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4.3 房地产转让项目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4.4 房地产项目定位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4.5 房地产项目定位案例分析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应用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第5章 房地产项目用地的获取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5.1 划拨土地使用权的获取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5.2 出让土地使用权的获取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5.3 协议出让土地使用权的获取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5.4 招标拍卖挂牌出让土地使用权的获取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5.5 土地使用权的转让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第6章 房地产市场调研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6.1 房地产市场调研概述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6.2 房地产市场调研的操作流程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6.3 房地产市场调研数据的分析方法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应用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6.4 房地产市场调研报告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6.5 房地产市场调研案例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应用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第7章 房地产开发项目可行性研究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7.1 房地产开发项目可行性研究概述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7.2 房地产开发项目的财务状况分析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应用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7.3 房地产开发项目的风险承受能力分析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7.4 房地产开发项目的国民经济评价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7.5 房地产开发项目的环境影响评价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7.6 房地产开发项目可行性研究案例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应用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第8章 房地产融资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8.1 房地产融资概论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8.2 房地产融资的资金来源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8.3 房地产融资的主要方式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8.4 房地产融资的成本管理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8.5 房地产融资的风险管理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第9章 房地产开发项目管理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9.1 房地产开发项目管理概述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9.2 房地产开发项目质量管理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9.3 房地产开发项目进度管理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9.4 房地产开发项目成本管理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9.5 房地产开发项目其他管理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9.6 房地产开发项目管理案例分析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应用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第10章 房地产市场营销</w:t>
      </w: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10.1 房地产市场营销概述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10.2 房地产市场营销策略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10.3 房地产市场营销运作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10.4 房地产市场营销策划案例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应用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第11章 房地产交易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11.1 房地产交易概述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11.2 国有土地使用权交易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11.3 房地产买卖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11.4 房地产租赁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11.5 房地产抵押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理解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11.6 房地产交易案例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应用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</w:p>
    <w:p>
      <w:pPr>
        <w:spacing w:line="36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第12章 物业管理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12.1 物业管理概述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12.2 物业管理的内容和程序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12.3 不同类型房地产的物业管理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12.4 物业管理标准与管理常见问题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（识记）</w:t>
      </w:r>
    </w:p>
    <w:p>
      <w:pPr>
        <w:spacing w:line="360" w:lineRule="auto"/>
        <w:rPr>
          <w:rFonts w:hint="eastAsia" w:ascii="宋体" w:hAnsi="宋体" w:eastAsia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12.5 物业管理案例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szCs w:val="21"/>
        </w:rPr>
        <w:t>（</w:t>
      </w:r>
      <w:r>
        <w:rPr>
          <w:rFonts w:hint="eastAsia"/>
          <w:b w:val="0"/>
          <w:bCs/>
          <w:szCs w:val="21"/>
          <w:lang w:val="en-US" w:eastAsia="zh-CN"/>
        </w:rPr>
        <w:t>应用</w:t>
      </w:r>
      <w:r>
        <w:rPr>
          <w:rFonts w:hint="eastAsia"/>
          <w:b w:val="0"/>
          <w:bCs/>
          <w:szCs w:val="21"/>
        </w:rPr>
        <w:t>）</w:t>
      </w:r>
    </w:p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Ⅳ.参考书目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/>
          <w:szCs w:val="21"/>
        </w:rPr>
        <w:t>1、吕萍.房地产开发与经营(第五版). 北京：中国人民大学出版社，2021年</w:t>
      </w:r>
      <w:r>
        <w:rPr>
          <w:rFonts w:hint="eastAsia" w:ascii="宋体" w:hAnsi="宋体"/>
          <w:szCs w:val="21"/>
        </w:rPr>
        <w:t>。</w:t>
      </w: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V.题型示例</w:t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一、名词解释</w:t>
      </w:r>
    </w:p>
    <w:p>
      <w:pPr>
        <w:spacing w:line="360" w:lineRule="auto"/>
        <w:ind w:firstLine="420" w:firstLineChars="200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1.</w:t>
      </w:r>
      <w:r>
        <w:rPr>
          <w:rFonts w:hint="eastAsia" w:ascii="宋体" w:hAnsi="宋体"/>
          <w:bCs/>
          <w:szCs w:val="21"/>
          <w:lang w:val="en-US" w:eastAsia="zh-CN"/>
        </w:rPr>
        <w:t>房地产开发</w:t>
      </w:r>
      <w:r>
        <w:rPr>
          <w:rFonts w:hint="eastAsia" w:ascii="宋体" w:hAnsi="宋体"/>
          <w:bCs/>
          <w:szCs w:val="21"/>
        </w:rPr>
        <w:t xml:space="preserve">   2.</w:t>
      </w:r>
      <w:r>
        <w:rPr>
          <w:rFonts w:hint="eastAsia" w:ascii="宋体" w:hAnsi="宋体"/>
          <w:bCs/>
          <w:szCs w:val="21"/>
          <w:lang w:val="en-US" w:eastAsia="zh-CN"/>
        </w:rPr>
        <w:t>房地产经营</w:t>
      </w:r>
      <w:r>
        <w:rPr>
          <w:rFonts w:hint="eastAsia" w:ascii="宋体" w:hAnsi="宋体"/>
          <w:bCs/>
          <w:szCs w:val="21"/>
        </w:rPr>
        <w:t xml:space="preserve">   </w:t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二、填空题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1.</w:t>
      </w:r>
      <w:r>
        <w:rPr>
          <w:rFonts w:hint="eastAsia" w:ascii="宋体" w:hAnsi="宋体"/>
          <w:bCs/>
          <w:szCs w:val="21"/>
          <w:lang w:val="en-US" w:eastAsia="zh-CN"/>
        </w:rPr>
        <w:t>房地产开发按开发的规模不同，可划分为单项开发和</w:t>
      </w:r>
      <w:r>
        <w:rPr>
          <w:rFonts w:hint="eastAsia" w:ascii="宋体" w:hAnsi="宋体"/>
          <w:bCs/>
          <w:szCs w:val="21"/>
          <w:u w:val="single"/>
        </w:rPr>
        <w:t xml:space="preserve">        </w:t>
      </w:r>
      <w:r>
        <w:rPr>
          <w:rFonts w:hint="eastAsia" w:ascii="宋体" w:hAnsi="宋体"/>
          <w:bCs/>
          <w:szCs w:val="21"/>
          <w:lang w:val="en-US" w:eastAsia="zh-CN"/>
        </w:rPr>
        <w:t>两种类别</w:t>
      </w:r>
      <w:r>
        <w:rPr>
          <w:rFonts w:hint="eastAsia" w:ascii="宋体" w:hAnsi="宋体"/>
          <w:bCs/>
          <w:szCs w:val="21"/>
        </w:rPr>
        <w:t>。</w:t>
      </w:r>
    </w:p>
    <w:p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</w:rPr>
        <w:t>三、</w:t>
      </w:r>
      <w:r>
        <w:rPr>
          <w:rFonts w:hint="eastAsia" w:ascii="宋体" w:hAnsi="宋体"/>
          <w:b/>
          <w:bCs/>
          <w:szCs w:val="21"/>
          <w:lang w:val="en-US" w:eastAsia="zh-CN"/>
        </w:rPr>
        <w:t>简答题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</w:t>
      </w:r>
      <w:r>
        <w:rPr>
          <w:rFonts w:hint="eastAsia" w:ascii="宋体" w:hAnsi="宋体"/>
          <w:szCs w:val="21"/>
          <w:lang w:val="en-US" w:eastAsia="zh-CN"/>
        </w:rPr>
        <w:t>房地产中介服务企业包括哪三种经营内容不同的企业？</w:t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四、论述</w:t>
      </w:r>
      <w:r>
        <w:rPr>
          <w:rFonts w:ascii="宋体" w:hAnsi="宋体"/>
          <w:b/>
          <w:bCs/>
          <w:szCs w:val="21"/>
        </w:rPr>
        <w:t>题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</w:t>
      </w:r>
      <w:r>
        <w:rPr>
          <w:rFonts w:hint="eastAsia" w:ascii="宋体" w:hAnsi="宋体"/>
          <w:szCs w:val="21"/>
          <w:lang w:val="en-US" w:eastAsia="zh-CN"/>
        </w:rPr>
        <w:t>房地产企业的特征有哪些？近年来，房地产企业存在哪些发展趋势？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五、分析题</w:t>
      </w:r>
    </w:p>
    <w:p>
      <w:pPr>
        <w:spacing w:line="360" w:lineRule="auto"/>
        <w:ind w:firstLine="424" w:firstLineChars="20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</w:t>
      </w:r>
      <w:r>
        <w:rPr>
          <w:rFonts w:hint="eastAsia" w:ascii="宋体" w:hAnsi="宋体"/>
          <w:szCs w:val="21"/>
          <w:lang w:val="en-US" w:eastAsia="zh-CN"/>
        </w:rPr>
        <w:t>你所在的不动产研究所现需要对A项目所在城市开展市场调研，为A项目包装和整体形象定位等策划提供依据，你作为此次市场调研的负责人，请谈谈你拟调查的主要内容和采用的方法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六、计算题（可以使用计算器）</w:t>
      </w:r>
    </w:p>
    <w:p>
      <w:pPr>
        <w:pStyle w:val="6"/>
        <w:ind w:left="-2" w:firstLine="2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已知一房地产投资项目各年净现金流量如下图所示，折现率为10%，请计算该项目的财务净现值（单位：万元）。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20" w:type="dxa"/>
          </w:tcPr>
          <w:p>
            <w:pPr>
              <w:pStyle w:val="6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6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420" w:type="dxa"/>
          </w:tcPr>
          <w:p>
            <w:pPr>
              <w:pStyle w:val="6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pStyle w:val="6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1" w:type="dxa"/>
          </w:tcPr>
          <w:p>
            <w:pPr>
              <w:pStyle w:val="6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>
            <w:pPr>
              <w:pStyle w:val="6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6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净现金流量</w:t>
            </w:r>
          </w:p>
        </w:tc>
        <w:tc>
          <w:tcPr>
            <w:tcW w:w="1420" w:type="dxa"/>
          </w:tcPr>
          <w:p>
            <w:pPr>
              <w:pStyle w:val="6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-100</w:t>
            </w:r>
          </w:p>
        </w:tc>
        <w:tc>
          <w:tcPr>
            <w:tcW w:w="1420" w:type="dxa"/>
          </w:tcPr>
          <w:p>
            <w:pPr>
              <w:pStyle w:val="6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420" w:type="dxa"/>
          </w:tcPr>
          <w:p>
            <w:pPr>
              <w:pStyle w:val="6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421" w:type="dxa"/>
          </w:tcPr>
          <w:p>
            <w:pPr>
              <w:pStyle w:val="6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421" w:type="dxa"/>
          </w:tcPr>
          <w:p>
            <w:pPr>
              <w:pStyle w:val="6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</w:tr>
    </w:tbl>
    <w:p>
      <w:pPr>
        <w:pStyle w:val="6"/>
        <w:ind w:left="-2" w:firstLine="2"/>
        <w:rPr>
          <w:rFonts w:hint="default"/>
          <w:sz w:val="21"/>
          <w:szCs w:val="21"/>
          <w:lang w:val="en-US" w:eastAsia="zh-CN"/>
        </w:rPr>
      </w:pPr>
    </w:p>
    <w:p>
      <w:pPr>
        <w:spacing w:line="360" w:lineRule="auto"/>
        <w:ind w:firstLine="424" w:firstLineChars="202"/>
        <w:rPr>
          <w:rFonts w:ascii="宋体" w:hAnsi="宋体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zMTNkOTE5Njk2ZDFmOTlhZWZmNTcxMjYxODY3YTkifQ=="/>
  </w:docVars>
  <w:rsids>
    <w:rsidRoot w:val="00172A27"/>
    <w:rsid w:val="0003528A"/>
    <w:rsid w:val="00037894"/>
    <w:rsid w:val="000713A5"/>
    <w:rsid w:val="0008008E"/>
    <w:rsid w:val="000C11DD"/>
    <w:rsid w:val="000E6102"/>
    <w:rsid w:val="0013343B"/>
    <w:rsid w:val="00172A27"/>
    <w:rsid w:val="001738FB"/>
    <w:rsid w:val="0017622D"/>
    <w:rsid w:val="00183535"/>
    <w:rsid w:val="001D5A12"/>
    <w:rsid w:val="00233DF0"/>
    <w:rsid w:val="0027035B"/>
    <w:rsid w:val="0027777E"/>
    <w:rsid w:val="00285A5F"/>
    <w:rsid w:val="00291DD6"/>
    <w:rsid w:val="002977DD"/>
    <w:rsid w:val="002D1F98"/>
    <w:rsid w:val="002D5EE4"/>
    <w:rsid w:val="00327ABC"/>
    <w:rsid w:val="00346B70"/>
    <w:rsid w:val="00476DFD"/>
    <w:rsid w:val="004A4B6E"/>
    <w:rsid w:val="004C1AA4"/>
    <w:rsid w:val="00505582"/>
    <w:rsid w:val="005351CB"/>
    <w:rsid w:val="00550B3D"/>
    <w:rsid w:val="00551473"/>
    <w:rsid w:val="005D1DD2"/>
    <w:rsid w:val="00610868"/>
    <w:rsid w:val="00643AF6"/>
    <w:rsid w:val="00696ECA"/>
    <w:rsid w:val="006C56F2"/>
    <w:rsid w:val="006D7D2C"/>
    <w:rsid w:val="00705073"/>
    <w:rsid w:val="0070636B"/>
    <w:rsid w:val="00707AC7"/>
    <w:rsid w:val="00730CF8"/>
    <w:rsid w:val="00742833"/>
    <w:rsid w:val="00757968"/>
    <w:rsid w:val="0076479E"/>
    <w:rsid w:val="007D7368"/>
    <w:rsid w:val="007E2888"/>
    <w:rsid w:val="00857703"/>
    <w:rsid w:val="00893E8E"/>
    <w:rsid w:val="008A04F5"/>
    <w:rsid w:val="009115DB"/>
    <w:rsid w:val="0093655E"/>
    <w:rsid w:val="009378E7"/>
    <w:rsid w:val="00970F25"/>
    <w:rsid w:val="00984733"/>
    <w:rsid w:val="009E09C1"/>
    <w:rsid w:val="00A00BE3"/>
    <w:rsid w:val="00A21AC2"/>
    <w:rsid w:val="00A26BF8"/>
    <w:rsid w:val="00A53F72"/>
    <w:rsid w:val="00A57C34"/>
    <w:rsid w:val="00A7613D"/>
    <w:rsid w:val="00AA1516"/>
    <w:rsid w:val="00AB4881"/>
    <w:rsid w:val="00B54CDF"/>
    <w:rsid w:val="00B55B74"/>
    <w:rsid w:val="00B621E2"/>
    <w:rsid w:val="00B76688"/>
    <w:rsid w:val="00C1053B"/>
    <w:rsid w:val="00C24B53"/>
    <w:rsid w:val="00C3224B"/>
    <w:rsid w:val="00C33AFF"/>
    <w:rsid w:val="00C37458"/>
    <w:rsid w:val="00C95047"/>
    <w:rsid w:val="00D02AF2"/>
    <w:rsid w:val="00D2074A"/>
    <w:rsid w:val="00D32D1C"/>
    <w:rsid w:val="00D72D31"/>
    <w:rsid w:val="00DE0C55"/>
    <w:rsid w:val="00E1762C"/>
    <w:rsid w:val="00EB5F84"/>
    <w:rsid w:val="00EE4CBD"/>
    <w:rsid w:val="00EF2084"/>
    <w:rsid w:val="00F0229B"/>
    <w:rsid w:val="00F22FC2"/>
    <w:rsid w:val="00F52F52"/>
    <w:rsid w:val="00F92A1E"/>
    <w:rsid w:val="00FB6C62"/>
    <w:rsid w:val="00FF4466"/>
    <w:rsid w:val="011A201B"/>
    <w:rsid w:val="035D3EC0"/>
    <w:rsid w:val="04310280"/>
    <w:rsid w:val="16CF3A71"/>
    <w:rsid w:val="25A53355"/>
    <w:rsid w:val="2A2E6A0D"/>
    <w:rsid w:val="2D4B56B9"/>
    <w:rsid w:val="2E772BB0"/>
    <w:rsid w:val="3A285059"/>
    <w:rsid w:val="3E2B711B"/>
    <w:rsid w:val="40672358"/>
    <w:rsid w:val="4F964D9C"/>
    <w:rsid w:val="5D2553D2"/>
    <w:rsid w:val="5ECF1F71"/>
    <w:rsid w:val="642D54E3"/>
    <w:rsid w:val="65D200F0"/>
    <w:rsid w:val="65D50E5C"/>
    <w:rsid w:val="670D6F06"/>
    <w:rsid w:val="67826645"/>
    <w:rsid w:val="754937FF"/>
    <w:rsid w:val="78B4754A"/>
    <w:rsid w:val="7B4D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left="363" w:hanging="363" w:hangingChars="173"/>
    </w:p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line="400" w:lineRule="exact"/>
      <w:ind w:firstLine="360" w:firstLineChars="150"/>
    </w:pPr>
    <w:rPr>
      <w:rFonts w:ascii="宋体" w:hAnsi="宋体"/>
      <w:sz w:val="24"/>
      <w:szCs w:val="2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正文文本缩进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apple-converted-space"/>
    <w:qFormat/>
    <w:uiPriority w:val="0"/>
  </w:style>
  <w:style w:type="character" w:customStyle="1" w:styleId="15">
    <w:name w:val="页脚 字符"/>
    <w:basedOn w:val="9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2131</Words>
  <Characters>2320</Characters>
  <Lines>30</Lines>
  <Paragraphs>8</Paragraphs>
  <TotalTime>16</TotalTime>
  <ScaleCrop>false</ScaleCrop>
  <LinksUpToDate>false</LinksUpToDate>
  <CharactersWithSpaces>2469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2022-01-07T08:58:00Z</dcterms:created>
  <dc:creator>Billgates</dc:creator>
  <cp:lastModifiedBy>毅</cp:lastModifiedBy>
  <cp:lastPrinted>2411-12-31T16:00:00Z</cp:lastPrinted>
  <dcterms:modified xsi:type="dcterms:W3CDTF">2022-12-18T08:32:20Z</dcterms:modified>
  <dc:title>《旅游学概论》考试大纲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CAADE4676576458E9EB4E01FAB11F622</vt:lpwstr>
  </property>
</Properties>
</file>