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rPr>
          <w:rFonts w:hint="eastAsia" w:asciiTheme="minorEastAsia" w:hAnsiTheme="minorEastAsia"/>
          <w:sz w:val="24"/>
          <w:szCs w:val="24"/>
          <w:lang w:val="en-US" w:eastAsia="zh-Hans"/>
        </w:rPr>
      </w:pPr>
      <w:r>
        <w:rPr>
          <w:rFonts w:hint="eastAsia" w:asciiTheme="minorEastAsia" w:hAnsiTheme="minorEastAsia"/>
          <w:b/>
          <w:sz w:val="24"/>
          <w:szCs w:val="24"/>
        </w:rPr>
        <w:t>招生专业：</w:t>
      </w:r>
      <w:r>
        <w:rPr>
          <w:rFonts w:hint="eastAsia" w:asciiTheme="minorEastAsia" w:hAnsiTheme="minorEastAsia"/>
          <w:sz w:val="24"/>
          <w:szCs w:val="24"/>
          <w:lang w:val="en-US" w:eastAsia="zh-Hans"/>
        </w:rPr>
        <w:t>工商管理</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奢侈品管理</w:t>
      </w:r>
      <w:r>
        <w:rPr>
          <w:rFonts w:hint="default" w:asciiTheme="minorEastAsia" w:hAnsiTheme="minorEastAsia"/>
          <w:sz w:val="24"/>
          <w:szCs w:val="24"/>
          <w:lang w:eastAsia="zh-Hans"/>
        </w:rPr>
        <w:t>）</w:t>
      </w:r>
    </w:p>
    <w:p>
      <w:pPr>
        <w:numPr>
          <w:numId w:val="0"/>
        </w:numPr>
        <w:spacing w:line="360" w:lineRule="auto"/>
        <w:rPr>
          <w:rFonts w:asciiTheme="minorEastAsia" w:hAnsiTheme="minorEastAsia"/>
          <w:sz w:val="24"/>
          <w:szCs w:val="24"/>
        </w:rPr>
      </w:pPr>
      <w:r>
        <w:rPr>
          <w:rFonts w:hint="eastAsia" w:asciiTheme="minorEastAsia" w:hAnsiTheme="minorEastAsia"/>
          <w:b/>
          <w:sz w:val="24"/>
          <w:szCs w:val="24"/>
        </w:rPr>
        <w:t>2、专业介绍：</w:t>
      </w:r>
      <w:r>
        <w:rPr>
          <w:rFonts w:asciiTheme="minorEastAsia" w:hAnsiTheme="minorEastAsia"/>
          <w:sz w:val="24"/>
          <w:szCs w:val="24"/>
        </w:rPr>
        <w:t xml:space="preserve"> </w:t>
      </w:r>
    </w:p>
    <w:p>
      <w:pPr>
        <w:spacing w:line="360" w:lineRule="auto"/>
        <w:rPr>
          <w:rFonts w:hint="eastAsia" w:asciiTheme="minorEastAsia" w:hAnsiTheme="minorEastAsia"/>
          <w:sz w:val="24"/>
          <w:szCs w:val="24"/>
        </w:rPr>
      </w:pPr>
      <w:r>
        <w:rPr>
          <w:rFonts w:hint="eastAsia" w:asciiTheme="minorEastAsia" w:hAnsiTheme="minorEastAsia"/>
          <w:sz w:val="24"/>
          <w:szCs w:val="24"/>
          <w:lang w:val="en-US" w:eastAsia="zh-Hans"/>
        </w:rPr>
        <w:t>本专业旨在</w:t>
      </w:r>
      <w:r>
        <w:rPr>
          <w:rFonts w:hint="eastAsia" w:asciiTheme="minorEastAsia" w:hAnsiTheme="minorEastAsia"/>
          <w:sz w:val="24"/>
          <w:szCs w:val="24"/>
        </w:rPr>
        <w:t>培养适合国际奢侈品行业和中国珠宝行业长远发展需要，具备扎实的奢侈品管理理论和技能，具有较强的英语优势、较好的企业管理运营、营销策划和销售素质及创新创业能力，同时具有统计与调查数据分析，宝石鉴定基础知识，首饰设计与制作基础技能。能在珠宝和奢侈品行业与相关领域，从事珠宝和奢侈品牌的销售、营销、市场推广、广告等一线工作，并且通过一定时间的学习和积累，从事一定的管理、运营和领导团队如担任店铺经理及助理、渠道经理及助理、市场、销售、广告策划、财务等部门经理及助理等工作的具有良好职业发展力和适应力，同时具备创新和国际视野的高素质跨学科复合应用创新型管理和经营人才。</w:t>
      </w:r>
    </w:p>
    <w:p>
      <w:pPr>
        <w:spacing w:line="360" w:lineRule="auto"/>
        <w:rPr>
          <w:rFonts w:asciiTheme="minorEastAsia" w:hAnsiTheme="minorEastAsia"/>
          <w:sz w:val="24"/>
          <w:szCs w:val="24"/>
        </w:rPr>
      </w:pPr>
      <w:r>
        <w:rPr>
          <w:rFonts w:hint="eastAsia" w:asciiTheme="minorEastAsia" w:hAnsiTheme="minorEastAsia"/>
          <w:sz w:val="24"/>
          <w:szCs w:val="24"/>
        </w:rPr>
        <w:t>①从事</w:t>
      </w:r>
      <w:r>
        <w:rPr>
          <w:rFonts w:hint="eastAsia" w:asciiTheme="minorEastAsia" w:hAnsiTheme="minorEastAsia"/>
          <w:sz w:val="24"/>
          <w:szCs w:val="24"/>
          <w:lang w:val="en-US" w:eastAsia="zh-Hans"/>
        </w:rPr>
        <w:t>珠宝</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奢侈品及高端品牌店铺经理</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店铺销售等相关工作</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rPr>
        <w:t>②从事</w:t>
      </w:r>
      <w:r>
        <w:rPr>
          <w:rFonts w:hint="eastAsia" w:asciiTheme="minorEastAsia" w:hAnsiTheme="minorEastAsia"/>
          <w:sz w:val="24"/>
          <w:szCs w:val="24"/>
          <w:lang w:val="en-US" w:eastAsia="zh-Hans"/>
        </w:rPr>
        <w:t>珠宝</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奢侈品及高端品牌市场专员等相关工作</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rPr>
        <w:t>③从事</w:t>
      </w:r>
      <w:r>
        <w:rPr>
          <w:rFonts w:hint="eastAsia" w:asciiTheme="minorEastAsia" w:hAnsiTheme="minorEastAsia"/>
          <w:sz w:val="24"/>
          <w:szCs w:val="24"/>
          <w:lang w:val="en-US" w:eastAsia="zh-Hans"/>
        </w:rPr>
        <w:t>珠宝</w:t>
      </w:r>
      <w:r>
        <w:rPr>
          <w:rFonts w:hint="default" w:asciiTheme="minorEastAsia" w:hAnsiTheme="minorEastAsia"/>
          <w:sz w:val="24"/>
          <w:szCs w:val="24"/>
          <w:lang w:eastAsia="zh-Hans"/>
        </w:rPr>
        <w:t>、</w:t>
      </w:r>
      <w:r>
        <w:rPr>
          <w:rFonts w:hint="eastAsia" w:asciiTheme="minorEastAsia" w:hAnsiTheme="minorEastAsia"/>
          <w:sz w:val="24"/>
          <w:szCs w:val="24"/>
        </w:rPr>
        <w:t>奢侈品及高端品牌营销策划</w:t>
      </w:r>
      <w:r>
        <w:rPr>
          <w:rFonts w:hint="eastAsia" w:asciiTheme="minorEastAsia" w:hAnsiTheme="minorEastAsia"/>
          <w:sz w:val="24"/>
          <w:szCs w:val="24"/>
          <w:lang w:val="en-US" w:eastAsia="zh-Hans"/>
        </w:rPr>
        <w:t>等相关工作</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rPr>
        <w:t>④从事个人奢侈品与珠宝鉴定师</w:t>
      </w:r>
      <w:r>
        <w:rPr>
          <w:rFonts w:hint="default" w:asciiTheme="minorEastAsia" w:hAnsiTheme="minorEastAsia"/>
          <w:sz w:val="24"/>
          <w:szCs w:val="24"/>
        </w:rPr>
        <w:t>、</w:t>
      </w:r>
      <w:r>
        <w:rPr>
          <w:rFonts w:hint="eastAsia" w:asciiTheme="minorEastAsia" w:hAnsiTheme="minorEastAsia"/>
          <w:sz w:val="24"/>
          <w:szCs w:val="24"/>
          <w:lang w:val="en-US" w:eastAsia="zh-Hans"/>
        </w:rPr>
        <w:t>买手</w:t>
      </w:r>
      <w:r>
        <w:rPr>
          <w:rFonts w:hint="eastAsia" w:asciiTheme="minorEastAsia" w:hAnsiTheme="minorEastAsia"/>
          <w:sz w:val="24"/>
          <w:szCs w:val="24"/>
        </w:rPr>
        <w:t>等相关工作；</w:t>
      </w:r>
    </w:p>
    <w:p>
      <w:pPr>
        <w:spacing w:line="360" w:lineRule="auto"/>
        <w:rPr>
          <w:rFonts w:asciiTheme="minorEastAsia" w:hAnsiTheme="minorEastAsia"/>
          <w:sz w:val="24"/>
          <w:szCs w:val="24"/>
        </w:rPr>
      </w:pPr>
      <w:r>
        <w:rPr>
          <w:rFonts w:hint="eastAsia" w:asciiTheme="minorEastAsia" w:hAnsiTheme="minorEastAsia"/>
          <w:sz w:val="24"/>
          <w:szCs w:val="24"/>
        </w:rPr>
        <w:t>⑤从事</w:t>
      </w:r>
      <w:r>
        <w:rPr>
          <w:rFonts w:hint="eastAsia" w:asciiTheme="minorEastAsia" w:hAnsiTheme="minorEastAsia"/>
          <w:sz w:val="24"/>
          <w:szCs w:val="24"/>
          <w:lang w:val="en-US" w:eastAsia="zh-Hans"/>
        </w:rPr>
        <w:t>珠宝</w:t>
      </w:r>
      <w:r>
        <w:rPr>
          <w:rFonts w:hint="default" w:asciiTheme="minorEastAsia" w:hAnsiTheme="minorEastAsia"/>
          <w:sz w:val="24"/>
          <w:szCs w:val="24"/>
          <w:lang w:eastAsia="zh-Hans"/>
        </w:rPr>
        <w:t>、</w:t>
      </w:r>
      <w:r>
        <w:rPr>
          <w:rFonts w:hint="eastAsia" w:asciiTheme="minorEastAsia" w:hAnsiTheme="minorEastAsia"/>
          <w:sz w:val="24"/>
          <w:szCs w:val="24"/>
        </w:rPr>
        <w:t>奢侈品及高端品牌公共关系管理</w:t>
      </w:r>
      <w:r>
        <w:rPr>
          <w:rFonts w:hint="eastAsia" w:asciiTheme="minorEastAsia" w:hAnsiTheme="minorEastAsia"/>
          <w:sz w:val="24"/>
          <w:szCs w:val="24"/>
          <w:lang w:val="en-US" w:eastAsia="zh-Hans"/>
        </w:rPr>
        <w:t>等</w:t>
      </w:r>
      <w:r>
        <w:rPr>
          <w:rFonts w:hint="eastAsia" w:asciiTheme="minorEastAsia" w:hAnsiTheme="minorEastAsia"/>
          <w:sz w:val="24"/>
          <w:szCs w:val="24"/>
        </w:rPr>
        <w:t>相关工作。</w:t>
      </w:r>
    </w:p>
    <w:p>
      <w:pPr>
        <w:spacing w:line="360" w:lineRule="auto"/>
        <w:rPr>
          <w:rFonts w:asciiTheme="minorEastAsia" w:hAnsiTheme="minorEastAsia"/>
          <w:sz w:val="24"/>
          <w:szCs w:val="24"/>
        </w:rPr>
      </w:pPr>
      <w:r>
        <w:rPr>
          <w:rFonts w:hint="eastAsia" w:asciiTheme="minorEastAsia" w:hAnsiTheme="minorEastAsia"/>
          <w:b/>
          <w:sz w:val="24"/>
          <w:szCs w:val="24"/>
        </w:rPr>
        <w:t>3、考试科目：</w:t>
      </w:r>
      <w:r>
        <w:rPr>
          <w:rFonts w:hint="eastAsia" w:asciiTheme="minorEastAsia" w:hAnsiTheme="minorEastAsia"/>
          <w:sz w:val="24"/>
          <w:szCs w:val="24"/>
        </w:rPr>
        <w:t>《珠宝市场营销学》</w:t>
      </w:r>
    </w:p>
    <w:p>
      <w:pPr>
        <w:snapToGrid w:val="0"/>
        <w:spacing w:line="288" w:lineRule="auto"/>
        <w:rPr>
          <w:rFonts w:hint="eastAsia" w:asciiTheme="minorEastAsia" w:hAnsiTheme="minorEastAsia"/>
          <w:b/>
          <w:sz w:val="24"/>
          <w:szCs w:val="24"/>
        </w:rPr>
      </w:pPr>
      <w:r>
        <w:rPr>
          <w:rFonts w:hint="eastAsia" w:asciiTheme="minorEastAsia" w:hAnsiTheme="minorEastAsia"/>
          <w:b/>
          <w:sz w:val="24"/>
          <w:szCs w:val="24"/>
        </w:rPr>
        <w:t>4、考试参考书籍：</w:t>
      </w:r>
    </w:p>
    <w:p>
      <w:pPr>
        <w:numPr>
          <w:numId w:val="0"/>
        </w:numPr>
        <w:spacing w:line="360" w:lineRule="auto"/>
        <w:rPr>
          <w:rFonts w:hint="eastAsia" w:asciiTheme="minorEastAsia" w:hAnsiTheme="minorEastAsia"/>
          <w:sz w:val="24"/>
          <w:szCs w:val="24"/>
          <w:lang w:val="en-US" w:eastAsia="zh-Hans"/>
        </w:rPr>
      </w:pPr>
      <w:r>
        <w:rPr>
          <w:rFonts w:hint="eastAsia" w:asciiTheme="minorEastAsia" w:hAnsiTheme="minorEastAsia"/>
          <w:sz w:val="24"/>
          <w:szCs w:val="24"/>
        </w:rPr>
        <w:t>①</w:t>
      </w:r>
      <w:r>
        <w:rPr>
          <w:rFonts w:hint="eastAsia" w:asciiTheme="minorEastAsia" w:hAnsiTheme="minorEastAsia"/>
          <w:sz w:val="24"/>
          <w:szCs w:val="24"/>
          <w:lang w:val="en-US" w:eastAsia="zh-Hans"/>
        </w:rPr>
        <w:t>《宝石学教程》（2016年12月第三版）中国地质大学出版社 GIC系列丛书 李娅莉等 编著</w:t>
      </w:r>
    </w:p>
    <w:p>
      <w:pPr>
        <w:spacing w:line="360" w:lineRule="auto"/>
        <w:jc w:val="both"/>
        <w:rPr>
          <w:rFonts w:hint="eastAsia" w:asciiTheme="minorEastAsia" w:hAnsiTheme="minorEastAsia"/>
          <w:sz w:val="24"/>
          <w:szCs w:val="24"/>
          <w:lang w:val="en-US" w:eastAsia="zh-Hans"/>
        </w:rPr>
      </w:pPr>
      <w:r>
        <w:rPr>
          <w:rFonts w:hint="eastAsia" w:asciiTheme="minorEastAsia" w:hAnsiTheme="minorEastAsia"/>
          <w:sz w:val="24"/>
          <w:szCs w:val="24"/>
        </w:rPr>
        <w:t>②</w:t>
      </w:r>
      <w:r>
        <w:rPr>
          <w:rFonts w:hint="eastAsia" w:asciiTheme="minorEastAsia" w:hAnsiTheme="minorEastAsia"/>
          <w:sz w:val="24"/>
          <w:szCs w:val="24"/>
          <w:lang w:val="en-US" w:eastAsia="zh-Hans"/>
        </w:rPr>
        <w:t>《珠宝市场营销学</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(2013年4月第二版)中国地质大学出版社</w:t>
      </w:r>
      <w:r>
        <w:rPr>
          <w:rFonts w:hint="default" w:asciiTheme="minorEastAsia" w:hAnsiTheme="minorEastAsia"/>
          <w:sz w:val="24"/>
          <w:szCs w:val="24"/>
          <w:lang w:eastAsia="zh-Hans"/>
        </w:rPr>
        <w:t xml:space="preserve"> </w:t>
      </w:r>
      <w:r>
        <w:rPr>
          <w:rFonts w:hint="eastAsia" w:asciiTheme="minorEastAsia" w:hAnsiTheme="minorEastAsia"/>
          <w:sz w:val="24"/>
          <w:szCs w:val="24"/>
          <w:lang w:val="en-US" w:eastAsia="zh-Hans"/>
        </w:rPr>
        <w:t>GIC系列丛书 包德清 编著</w:t>
      </w:r>
    </w:p>
    <w:p>
      <w:pPr>
        <w:spacing w:line="360" w:lineRule="auto"/>
        <w:rPr>
          <w:rFonts w:hint="eastAsia" w:asciiTheme="minorEastAsia" w:hAnsiTheme="minorEastAsia"/>
          <w:b/>
          <w:sz w:val="24"/>
          <w:szCs w:val="24"/>
        </w:rPr>
      </w:pPr>
      <w:r>
        <w:rPr>
          <w:rFonts w:hint="eastAsia" w:asciiTheme="minorEastAsia" w:hAnsiTheme="minorEastAsia"/>
          <w:b/>
          <w:sz w:val="24"/>
          <w:szCs w:val="24"/>
        </w:rPr>
        <w:t>5、考试大纲：</w:t>
      </w:r>
    </w:p>
    <w:p>
      <w:pPr>
        <w:spacing w:line="360" w:lineRule="auto"/>
        <w:rPr>
          <w:rFonts w:asciiTheme="minorEastAsia" w:hAnsiTheme="minorEastAsia"/>
          <w:b/>
          <w:sz w:val="24"/>
          <w:szCs w:val="24"/>
        </w:rPr>
      </w:pPr>
    </w:p>
    <w:p>
      <w:pPr>
        <w:spacing w:line="360" w:lineRule="auto"/>
        <w:jc w:val="center"/>
        <w:rPr>
          <w:rFonts w:cs="Times New Roman" w:asciiTheme="minorEastAsia" w:hAnsiTheme="minorEastAsia"/>
          <w:sz w:val="24"/>
          <w:szCs w:val="24"/>
        </w:rPr>
      </w:pPr>
      <w:r>
        <w:rPr>
          <w:rFonts w:hint="eastAsia" w:asciiTheme="minorEastAsia" w:hAnsiTheme="minorEastAsia"/>
          <w:sz w:val="24"/>
          <w:szCs w:val="24"/>
        </w:rPr>
        <w:t>《珠宝市场营销学》</w:t>
      </w:r>
      <w:r>
        <w:rPr>
          <w:rFonts w:cs="Times New Roman" w:asciiTheme="minorEastAsia" w:hAnsiTheme="minorEastAsia"/>
          <w:sz w:val="24"/>
          <w:szCs w:val="24"/>
        </w:rPr>
        <w:t>考试大纲</w:t>
      </w:r>
    </w:p>
    <w:p>
      <w:pPr>
        <w:spacing w:beforeLines="100" w:afterLines="50" w:line="360" w:lineRule="auto"/>
        <w:rPr>
          <w:rFonts w:cs="Times New Roman" w:asciiTheme="minorEastAsia" w:hAnsiTheme="minorEastAsia"/>
          <w:sz w:val="24"/>
          <w:szCs w:val="24"/>
        </w:rPr>
      </w:pPr>
      <w:r>
        <w:rPr>
          <w:rFonts w:cs="Times New Roman" w:asciiTheme="minorEastAsia" w:hAnsiTheme="minorEastAsia"/>
          <w:sz w:val="24"/>
          <w:szCs w:val="24"/>
        </w:rPr>
        <w:t>一、基本信息</w:t>
      </w:r>
    </w:p>
    <w:p>
      <w:pPr>
        <w:numPr>
          <w:numId w:val="0"/>
        </w:numPr>
        <w:spacing w:line="360" w:lineRule="auto"/>
        <w:rPr>
          <w:rFonts w:hint="eastAsia" w:asciiTheme="minorEastAsia" w:hAnsiTheme="minorEastAsia"/>
          <w:sz w:val="24"/>
          <w:szCs w:val="24"/>
          <w:lang w:val="en-US" w:eastAsia="zh-Hans"/>
        </w:rPr>
      </w:pPr>
      <w:r>
        <w:rPr>
          <w:rFonts w:cs="Times New Roman" w:asciiTheme="minorEastAsia" w:hAnsiTheme="minorEastAsia"/>
          <w:sz w:val="24"/>
          <w:szCs w:val="24"/>
        </w:rPr>
        <w:t>1. 专业：</w:t>
      </w:r>
      <w:r>
        <w:rPr>
          <w:rFonts w:hint="eastAsia" w:asciiTheme="minorEastAsia" w:hAnsiTheme="minorEastAsia"/>
          <w:sz w:val="24"/>
          <w:szCs w:val="24"/>
          <w:lang w:val="en-US" w:eastAsia="zh-Hans"/>
        </w:rPr>
        <w:t>工商管理</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奢侈品管理</w:t>
      </w:r>
      <w:r>
        <w:rPr>
          <w:rFonts w:hint="default" w:asciiTheme="minorEastAsia" w:hAnsiTheme="minorEastAsia"/>
          <w:sz w:val="24"/>
          <w:szCs w:val="24"/>
          <w:lang w:eastAsia="zh-Hans"/>
        </w:rPr>
        <w:t>）</w:t>
      </w:r>
    </w:p>
    <w:p>
      <w:pPr>
        <w:numPr>
          <w:ilvl w:val="0"/>
          <w:numId w:val="0"/>
        </w:numPr>
        <w:spacing w:line="360" w:lineRule="auto"/>
        <w:rPr>
          <w:rFonts w:cs="Times New Roman" w:asciiTheme="minorEastAsia" w:hAnsiTheme="minorEastAsia"/>
          <w:sz w:val="24"/>
          <w:szCs w:val="24"/>
        </w:rPr>
      </w:pPr>
      <w:r>
        <w:rPr>
          <w:rFonts w:cs="Times New Roman" w:asciiTheme="minorEastAsia" w:hAnsiTheme="minorEastAsia"/>
          <w:sz w:val="24"/>
          <w:szCs w:val="24"/>
        </w:rPr>
        <w:t>2. 参考书：</w:t>
      </w:r>
    </w:p>
    <w:p>
      <w:pPr>
        <w:numPr>
          <w:ilvl w:val="0"/>
          <w:numId w:val="0"/>
        </w:numPr>
        <w:spacing w:line="360" w:lineRule="auto"/>
        <w:rPr>
          <w:rFonts w:hint="eastAsia" w:asciiTheme="minorEastAsia" w:hAnsiTheme="minorEastAsia"/>
          <w:sz w:val="24"/>
          <w:szCs w:val="24"/>
          <w:lang w:val="en-US" w:eastAsia="zh-Hans"/>
        </w:rPr>
      </w:pPr>
      <w:r>
        <w:rPr>
          <w:rFonts w:hint="eastAsia" w:asciiTheme="minorEastAsia" w:hAnsiTheme="minorEastAsia"/>
          <w:sz w:val="24"/>
          <w:szCs w:val="24"/>
        </w:rPr>
        <w:t>①</w:t>
      </w:r>
      <w:r>
        <w:rPr>
          <w:rFonts w:hint="eastAsia" w:asciiTheme="minorEastAsia" w:hAnsiTheme="minorEastAsia"/>
          <w:sz w:val="24"/>
          <w:szCs w:val="24"/>
          <w:lang w:val="en-US" w:eastAsia="zh-Hans"/>
        </w:rPr>
        <w:t>《宝石学教程》（2016年12月第三版）中国地质大学出版社 GIC系列丛书 李娅莉等 编著</w:t>
      </w:r>
    </w:p>
    <w:p>
      <w:pPr>
        <w:spacing w:line="360" w:lineRule="auto"/>
        <w:jc w:val="both"/>
        <w:rPr>
          <w:rFonts w:hint="eastAsia" w:asciiTheme="minorEastAsia" w:hAnsiTheme="minorEastAsia"/>
          <w:sz w:val="24"/>
          <w:szCs w:val="24"/>
          <w:lang w:val="en-US" w:eastAsia="zh-Hans"/>
        </w:rPr>
      </w:pPr>
      <w:r>
        <w:rPr>
          <w:rFonts w:hint="eastAsia" w:asciiTheme="minorEastAsia" w:hAnsiTheme="minorEastAsia"/>
          <w:sz w:val="24"/>
          <w:szCs w:val="24"/>
        </w:rPr>
        <w:t>②</w:t>
      </w:r>
      <w:r>
        <w:rPr>
          <w:rFonts w:hint="eastAsia" w:asciiTheme="minorEastAsia" w:hAnsiTheme="minorEastAsia"/>
          <w:sz w:val="24"/>
          <w:szCs w:val="24"/>
          <w:lang w:val="en-US" w:eastAsia="zh-Hans"/>
        </w:rPr>
        <w:t>《珠宝市场营销学</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(2013年4月第二版)中国地质大学出版社</w:t>
      </w:r>
      <w:r>
        <w:rPr>
          <w:rFonts w:hint="default" w:asciiTheme="minorEastAsia" w:hAnsiTheme="minorEastAsia"/>
          <w:sz w:val="24"/>
          <w:szCs w:val="24"/>
          <w:lang w:eastAsia="zh-Hans"/>
        </w:rPr>
        <w:t xml:space="preserve"> </w:t>
      </w:r>
      <w:r>
        <w:rPr>
          <w:rFonts w:hint="eastAsia" w:asciiTheme="minorEastAsia" w:hAnsiTheme="minorEastAsia"/>
          <w:sz w:val="24"/>
          <w:szCs w:val="24"/>
          <w:lang w:val="en-US" w:eastAsia="zh-Hans"/>
        </w:rPr>
        <w:t>GIC系列丛书 包德清 编著</w:t>
      </w:r>
    </w:p>
    <w:p>
      <w:pPr>
        <w:spacing w:beforeLines="20" w:afterLines="20" w:line="360" w:lineRule="auto"/>
        <w:rPr>
          <w:rFonts w:cs="Times New Roman" w:asciiTheme="minorEastAsia" w:hAnsiTheme="minorEastAsia"/>
          <w:sz w:val="24"/>
          <w:szCs w:val="24"/>
        </w:rPr>
      </w:pPr>
      <w:r>
        <w:rPr>
          <w:rFonts w:cs="Times New Roman" w:asciiTheme="minorEastAsia" w:hAnsiTheme="minorEastAsia"/>
          <w:sz w:val="24"/>
          <w:szCs w:val="24"/>
        </w:rPr>
        <w:t xml:space="preserve">3. </w:t>
      </w:r>
      <w:r>
        <w:rPr>
          <w:rFonts w:hint="eastAsia" w:cs="Times New Roman" w:asciiTheme="minorEastAsia" w:hAnsiTheme="minorEastAsia"/>
          <w:sz w:val="24"/>
          <w:szCs w:val="24"/>
        </w:rPr>
        <w:t>考试形式：</w:t>
      </w:r>
      <w:r>
        <w:rPr>
          <w:rFonts w:hint="eastAsia" w:cs="Times New Roman" w:asciiTheme="minorEastAsia" w:hAnsiTheme="minorEastAsia"/>
          <w:sz w:val="24"/>
          <w:szCs w:val="24"/>
          <w:lang w:val="en-US" w:eastAsia="zh-Hans"/>
        </w:rPr>
        <w:t>闭卷考试</w:t>
      </w:r>
    </w:p>
    <w:p>
      <w:pPr>
        <w:spacing w:beforeLines="20" w:afterLines="20"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4. </w:t>
      </w:r>
      <w:r>
        <w:rPr>
          <w:rFonts w:cs="Times New Roman" w:asciiTheme="minorEastAsia" w:hAnsiTheme="minorEastAsia"/>
          <w:sz w:val="24"/>
          <w:szCs w:val="24"/>
        </w:rPr>
        <w:t>题型：</w:t>
      </w:r>
    </w:p>
    <w:tbl>
      <w:tblPr>
        <w:tblStyle w:val="6"/>
        <w:tblpPr w:leftFromText="180" w:rightFromText="180" w:vertAnchor="text" w:horzAnchor="page" w:tblpX="1795" w:tblpY="11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467"/>
        <w:gridCol w:w="849"/>
        <w:gridCol w:w="3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
                <w:bCs/>
                <w:szCs w:val="21"/>
              </w:rPr>
            </w:pPr>
            <w:r>
              <w:rPr>
                <w:rFonts w:hint="eastAsia" w:ascii="宋体" w:hAnsi="宋体" w:eastAsia="宋体" w:cs="Times New Roman"/>
                <w:b/>
                <w:bCs/>
                <w:szCs w:val="21"/>
              </w:rPr>
              <w:t>编号</w:t>
            </w:r>
          </w:p>
        </w:tc>
        <w:tc>
          <w:tcPr>
            <w:tcW w:w="3467" w:type="dxa"/>
            <w:tcBorders>
              <w:top w:val="single" w:color="auto" w:sz="4" w:space="0"/>
              <w:left w:val="nil"/>
              <w:bottom w:val="single" w:color="auto" w:sz="4" w:space="0"/>
              <w:right w:val="single" w:color="auto" w:sz="4" w:space="0"/>
            </w:tcBorders>
          </w:tcPr>
          <w:p>
            <w:pPr>
              <w:jc w:val="center"/>
              <w:rPr>
                <w:rFonts w:ascii="Times New Roman" w:hAnsi="Times New Roman" w:eastAsia="宋体" w:cs="Times New Roman"/>
                <w:b/>
                <w:bCs/>
                <w:szCs w:val="21"/>
              </w:rPr>
            </w:pPr>
            <w:r>
              <w:rPr>
                <w:rFonts w:hint="eastAsia" w:ascii="宋体" w:hAnsi="宋体" w:eastAsia="宋体" w:cs="Times New Roman"/>
                <w:b/>
                <w:bCs/>
                <w:szCs w:val="21"/>
              </w:rPr>
              <w:t>试题类型</w:t>
            </w:r>
          </w:p>
        </w:tc>
        <w:tc>
          <w:tcPr>
            <w:tcW w:w="849" w:type="dxa"/>
            <w:tcBorders>
              <w:top w:val="single" w:color="auto" w:sz="4" w:space="0"/>
              <w:left w:val="nil"/>
              <w:bottom w:val="single" w:color="auto" w:sz="4" w:space="0"/>
              <w:right w:val="single" w:color="auto" w:sz="4" w:space="0"/>
            </w:tcBorders>
          </w:tcPr>
          <w:p>
            <w:pPr>
              <w:jc w:val="center"/>
              <w:rPr>
                <w:rFonts w:ascii="Times New Roman" w:hAnsi="Times New Roman" w:eastAsia="宋体" w:cs="Times New Roman"/>
                <w:b/>
                <w:bCs/>
                <w:szCs w:val="21"/>
              </w:rPr>
            </w:pPr>
            <w:r>
              <w:rPr>
                <w:rFonts w:hint="eastAsia" w:ascii="宋体" w:hAnsi="宋体" w:eastAsia="宋体" w:cs="Times New Roman"/>
                <w:b/>
                <w:bCs/>
                <w:szCs w:val="21"/>
              </w:rPr>
              <w:t>权重</w:t>
            </w:r>
          </w:p>
        </w:tc>
        <w:tc>
          <w:tcPr>
            <w:tcW w:w="3434" w:type="dxa"/>
            <w:tcBorders>
              <w:top w:val="single" w:color="auto" w:sz="4" w:space="0"/>
              <w:left w:val="nil"/>
              <w:bottom w:val="single" w:color="auto" w:sz="4" w:space="0"/>
              <w:right w:val="single" w:color="auto" w:sz="4" w:space="0"/>
            </w:tcBorders>
          </w:tcPr>
          <w:p>
            <w:pPr>
              <w:jc w:val="center"/>
              <w:rPr>
                <w:rFonts w:ascii="Times New Roman" w:hAnsi="Times New Roman" w:eastAsia="宋体" w:cs="Times New Roman"/>
                <w:b/>
                <w:bCs/>
                <w:szCs w:val="21"/>
              </w:rPr>
            </w:pPr>
            <w:r>
              <w:rPr>
                <w:rFonts w:hint="eastAsia" w:ascii="宋体" w:hAnsi="宋体" w:eastAsia="宋体" w:cs="Times New Roman"/>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szCs w:val="21"/>
              </w:rPr>
            </w:pPr>
            <w:r>
              <w:rPr>
                <w:rFonts w:hint="eastAsia" w:ascii="宋体" w:hAnsi="宋体" w:eastAsia="宋体" w:cs="Times New Roman"/>
                <w:szCs w:val="21"/>
              </w:rPr>
              <w:t>1</w:t>
            </w:r>
          </w:p>
        </w:tc>
        <w:tc>
          <w:tcPr>
            <w:tcW w:w="3467" w:type="dxa"/>
            <w:tcBorders>
              <w:top w:val="single" w:color="auto" w:sz="4" w:space="0"/>
              <w:left w:val="nil"/>
              <w:bottom w:val="single" w:color="auto" w:sz="4" w:space="0"/>
              <w:right w:val="single" w:color="auto" w:sz="4" w:space="0"/>
            </w:tcBorders>
          </w:tcPr>
          <w:p>
            <w:pPr>
              <w:jc w:val="center"/>
              <w:rPr>
                <w:rFonts w:ascii="Times New Roman" w:hAnsi="Times New Roman" w:eastAsia="宋体" w:cs="Times New Roman"/>
                <w:szCs w:val="21"/>
              </w:rPr>
            </w:pPr>
            <w:r>
              <w:rPr>
                <w:rFonts w:hint="eastAsia" w:ascii="宋体" w:hAnsi="宋体" w:eastAsia="宋体" w:cs="Times New Roman"/>
                <w:szCs w:val="21"/>
              </w:rPr>
              <w:t>判断</w:t>
            </w:r>
          </w:p>
        </w:tc>
        <w:tc>
          <w:tcPr>
            <w:tcW w:w="849" w:type="dxa"/>
            <w:tcBorders>
              <w:top w:val="single" w:color="auto" w:sz="4" w:space="0"/>
              <w:left w:val="nil"/>
              <w:bottom w:val="single" w:color="auto" w:sz="4" w:space="0"/>
              <w:right w:val="single" w:color="auto" w:sz="4" w:space="0"/>
            </w:tcBorders>
          </w:tcPr>
          <w:p>
            <w:pPr>
              <w:jc w:val="center"/>
              <w:rPr>
                <w:rFonts w:ascii="Times New Roman" w:hAnsi="Times New Roman" w:eastAsia="宋体" w:cs="Times New Roman"/>
                <w:szCs w:val="21"/>
              </w:rPr>
            </w:pPr>
            <w:r>
              <w:rPr>
                <w:rFonts w:hint="eastAsia" w:ascii="宋体" w:hAnsi="宋体" w:eastAsia="宋体" w:cs="Times New Roman"/>
                <w:szCs w:val="21"/>
              </w:rPr>
              <w:t>10</w:t>
            </w:r>
          </w:p>
        </w:tc>
        <w:tc>
          <w:tcPr>
            <w:tcW w:w="3434" w:type="dxa"/>
            <w:tcBorders>
              <w:top w:val="single" w:color="auto" w:sz="4" w:space="0"/>
              <w:left w:val="nil"/>
              <w:bottom w:val="single" w:color="auto" w:sz="4" w:space="0"/>
              <w:right w:val="single" w:color="auto" w:sz="4" w:space="0"/>
            </w:tcBorders>
          </w:tcPr>
          <w:p>
            <w:pPr>
              <w:jc w:val="left"/>
              <w:rPr>
                <w:rFonts w:ascii="宋体" w:hAnsi="宋体" w:eastAsia="宋体" w:cs="Times New Roman"/>
                <w:szCs w:val="21"/>
              </w:rPr>
            </w:pPr>
            <w:r>
              <w:rPr>
                <w:rFonts w:hint="eastAsia" w:ascii="宋体" w:hAnsi="宋体" w:eastAsia="宋体" w:cs="Times New Roman"/>
                <w:szCs w:val="21"/>
              </w:rPr>
              <w:t>判断对错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szCs w:val="21"/>
              </w:rPr>
            </w:pPr>
            <w:r>
              <w:rPr>
                <w:rFonts w:hint="eastAsia" w:ascii="宋体" w:hAnsi="宋体" w:eastAsia="宋体" w:cs="Times New Roman"/>
                <w:szCs w:val="21"/>
              </w:rPr>
              <w:t>2</w:t>
            </w:r>
          </w:p>
        </w:tc>
        <w:tc>
          <w:tcPr>
            <w:tcW w:w="3467" w:type="dxa"/>
            <w:tcBorders>
              <w:top w:val="single" w:color="auto" w:sz="4" w:space="0"/>
              <w:left w:val="nil"/>
              <w:bottom w:val="single" w:color="auto" w:sz="4" w:space="0"/>
              <w:right w:val="single" w:color="auto" w:sz="4" w:space="0"/>
            </w:tcBorders>
          </w:tcPr>
          <w:p>
            <w:pPr>
              <w:jc w:val="center"/>
              <w:rPr>
                <w:rFonts w:ascii="Times New Roman" w:hAnsi="Times New Roman" w:eastAsia="宋体" w:cs="Times New Roman"/>
                <w:szCs w:val="21"/>
              </w:rPr>
            </w:pPr>
            <w:r>
              <w:rPr>
                <w:rFonts w:hint="eastAsia" w:ascii="宋体" w:hAnsi="宋体" w:eastAsia="宋体" w:cs="Times New Roman"/>
                <w:szCs w:val="21"/>
              </w:rPr>
              <w:t>单选</w:t>
            </w:r>
          </w:p>
        </w:tc>
        <w:tc>
          <w:tcPr>
            <w:tcW w:w="849" w:type="dxa"/>
            <w:tcBorders>
              <w:top w:val="single" w:color="auto" w:sz="4" w:space="0"/>
              <w:left w:val="nil"/>
              <w:bottom w:val="single" w:color="auto" w:sz="4" w:space="0"/>
              <w:right w:val="single" w:color="auto" w:sz="4" w:space="0"/>
            </w:tcBorders>
          </w:tcPr>
          <w:p>
            <w:pPr>
              <w:jc w:val="center"/>
              <w:rPr>
                <w:rFonts w:ascii="Times New Roman" w:hAnsi="Times New Roman" w:eastAsia="宋体" w:cs="Times New Roman"/>
                <w:szCs w:val="21"/>
              </w:rPr>
            </w:pPr>
            <w:r>
              <w:rPr>
                <w:rFonts w:hint="default" w:ascii="宋体" w:hAnsi="宋体" w:eastAsia="宋体" w:cs="Times New Roman"/>
                <w:szCs w:val="21"/>
              </w:rPr>
              <w:t>20</w:t>
            </w:r>
          </w:p>
        </w:tc>
        <w:tc>
          <w:tcPr>
            <w:tcW w:w="3434" w:type="dxa"/>
            <w:tcBorders>
              <w:top w:val="single" w:color="auto" w:sz="4" w:space="0"/>
              <w:left w:val="nil"/>
              <w:bottom w:val="single" w:color="auto" w:sz="4" w:space="0"/>
              <w:right w:val="single" w:color="auto" w:sz="4" w:space="0"/>
            </w:tcBorders>
          </w:tcPr>
          <w:p>
            <w:pPr>
              <w:jc w:val="left"/>
              <w:rPr>
                <w:rFonts w:ascii="Times New Roman" w:hAnsi="Times New Roman" w:eastAsia="宋体" w:cs="Times New Roman"/>
                <w:szCs w:val="21"/>
              </w:rPr>
            </w:pPr>
            <w:r>
              <w:rPr>
                <w:rFonts w:hint="eastAsia" w:ascii="Times New Roman" w:hAnsi="Times New Roman" w:eastAsia="宋体" w:cs="Times New Roman"/>
                <w:szCs w:val="21"/>
              </w:rPr>
              <w:t>四选一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szCs w:val="21"/>
              </w:rPr>
            </w:pPr>
            <w:r>
              <w:rPr>
                <w:rFonts w:hint="eastAsia" w:ascii="宋体" w:hAnsi="宋体" w:eastAsia="宋体" w:cs="Times New Roman"/>
                <w:szCs w:val="21"/>
              </w:rPr>
              <w:t>3</w:t>
            </w:r>
          </w:p>
        </w:tc>
        <w:tc>
          <w:tcPr>
            <w:tcW w:w="3467" w:type="dxa"/>
            <w:tcBorders>
              <w:top w:val="single" w:color="auto" w:sz="4" w:space="0"/>
              <w:left w:val="nil"/>
              <w:bottom w:val="single" w:color="auto" w:sz="4" w:space="0"/>
              <w:right w:val="single" w:color="auto" w:sz="4" w:space="0"/>
            </w:tcBorders>
          </w:tcPr>
          <w:p>
            <w:pPr>
              <w:jc w:val="center"/>
              <w:rPr>
                <w:rFonts w:ascii="Times New Roman" w:hAnsi="Times New Roman" w:eastAsia="宋体" w:cs="Times New Roman"/>
                <w:szCs w:val="21"/>
              </w:rPr>
            </w:pPr>
            <w:r>
              <w:rPr>
                <w:rFonts w:hint="eastAsia" w:ascii="宋体" w:hAnsi="宋体" w:eastAsia="宋体" w:cs="Times New Roman"/>
                <w:szCs w:val="21"/>
              </w:rPr>
              <w:t>多选</w:t>
            </w:r>
          </w:p>
        </w:tc>
        <w:tc>
          <w:tcPr>
            <w:tcW w:w="849" w:type="dxa"/>
            <w:tcBorders>
              <w:top w:val="single" w:color="auto" w:sz="4" w:space="0"/>
              <w:left w:val="nil"/>
              <w:bottom w:val="single" w:color="auto" w:sz="4" w:space="0"/>
              <w:right w:val="single" w:color="auto" w:sz="4" w:space="0"/>
            </w:tcBorders>
          </w:tcPr>
          <w:p>
            <w:pPr>
              <w:jc w:val="center"/>
              <w:rPr>
                <w:rFonts w:ascii="宋体" w:hAnsi="宋体" w:eastAsia="宋体" w:cs="Times New Roman"/>
                <w:szCs w:val="21"/>
              </w:rPr>
            </w:pPr>
            <w:r>
              <w:rPr>
                <w:rFonts w:hint="eastAsia" w:ascii="宋体" w:hAnsi="宋体" w:eastAsia="宋体" w:cs="Times New Roman"/>
                <w:szCs w:val="21"/>
              </w:rPr>
              <w:t>10</w:t>
            </w:r>
          </w:p>
        </w:tc>
        <w:tc>
          <w:tcPr>
            <w:tcW w:w="3434" w:type="dxa"/>
            <w:tcBorders>
              <w:top w:val="single" w:color="auto" w:sz="4" w:space="0"/>
              <w:left w:val="nil"/>
              <w:bottom w:val="single" w:color="auto" w:sz="4" w:space="0"/>
              <w:right w:val="single" w:color="auto" w:sz="4" w:space="0"/>
            </w:tcBorders>
          </w:tcPr>
          <w:p>
            <w:pPr>
              <w:jc w:val="left"/>
              <w:rPr>
                <w:rFonts w:ascii="Times New Roman" w:hAnsi="Times New Roman" w:eastAsia="宋体" w:cs="Times New Roman"/>
                <w:szCs w:val="21"/>
              </w:rPr>
            </w:pPr>
            <w:r>
              <w:rPr>
                <w:rFonts w:hint="eastAsia" w:ascii="Times New Roman" w:hAnsi="Times New Roman" w:eastAsia="宋体" w:cs="Times New Roman"/>
                <w:szCs w:val="21"/>
              </w:rPr>
              <w:t>五选多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szCs w:val="21"/>
              </w:rPr>
            </w:pPr>
            <w:r>
              <w:rPr>
                <w:rFonts w:hint="eastAsia" w:ascii="宋体" w:hAnsi="宋体" w:eastAsia="宋体" w:cs="Times New Roman"/>
                <w:szCs w:val="21"/>
              </w:rPr>
              <w:t>4</w:t>
            </w:r>
          </w:p>
        </w:tc>
        <w:tc>
          <w:tcPr>
            <w:tcW w:w="3467" w:type="dxa"/>
            <w:tcBorders>
              <w:top w:val="single" w:color="auto" w:sz="4" w:space="0"/>
              <w:left w:val="nil"/>
              <w:bottom w:val="single" w:color="auto" w:sz="4" w:space="0"/>
              <w:right w:val="single" w:color="auto" w:sz="4" w:space="0"/>
            </w:tcBorders>
          </w:tcPr>
          <w:p>
            <w:pPr>
              <w:jc w:val="center"/>
              <w:rPr>
                <w:rFonts w:ascii="宋体" w:hAnsi="宋体" w:eastAsia="宋体" w:cs="Times New Roman"/>
                <w:szCs w:val="21"/>
              </w:rPr>
            </w:pPr>
            <w:r>
              <w:rPr>
                <w:rFonts w:hint="eastAsia" w:ascii="宋体" w:hAnsi="宋体" w:eastAsia="宋体" w:cs="Times New Roman"/>
                <w:szCs w:val="21"/>
              </w:rPr>
              <w:t>简答</w:t>
            </w:r>
          </w:p>
        </w:tc>
        <w:tc>
          <w:tcPr>
            <w:tcW w:w="849" w:type="dxa"/>
            <w:tcBorders>
              <w:top w:val="single" w:color="auto" w:sz="4" w:space="0"/>
              <w:left w:val="nil"/>
              <w:bottom w:val="single" w:color="auto" w:sz="4" w:space="0"/>
              <w:right w:val="single" w:color="auto" w:sz="4" w:space="0"/>
            </w:tcBorders>
          </w:tcPr>
          <w:p>
            <w:pPr>
              <w:jc w:val="center"/>
              <w:rPr>
                <w:rFonts w:ascii="Times New Roman" w:hAnsi="Times New Roman" w:eastAsia="宋体" w:cs="Times New Roman"/>
                <w:szCs w:val="21"/>
              </w:rPr>
            </w:pPr>
            <w:r>
              <w:rPr>
                <w:rFonts w:hint="default" w:ascii="宋体" w:hAnsi="宋体" w:eastAsia="宋体" w:cs="Times New Roman"/>
                <w:szCs w:val="21"/>
              </w:rPr>
              <w:t>40</w:t>
            </w:r>
          </w:p>
        </w:tc>
        <w:tc>
          <w:tcPr>
            <w:tcW w:w="3434" w:type="dxa"/>
            <w:tcBorders>
              <w:top w:val="single" w:color="auto" w:sz="4" w:space="0"/>
              <w:left w:val="nil"/>
              <w:bottom w:val="single" w:color="auto" w:sz="4" w:space="0"/>
              <w:right w:val="single" w:color="auto" w:sz="4" w:space="0"/>
            </w:tcBorders>
          </w:tcPr>
          <w:p>
            <w:pPr>
              <w:jc w:val="left"/>
              <w:rPr>
                <w:rFonts w:ascii="宋体" w:hAnsi="宋体" w:eastAsia="宋体" w:cs="Times New Roman"/>
                <w:szCs w:val="21"/>
              </w:rPr>
            </w:pPr>
            <w:r>
              <w:rPr>
                <w:rFonts w:hint="eastAsia" w:ascii="宋体" w:hAnsi="宋体" w:eastAsia="宋体" w:cs="Times New Roman"/>
                <w:szCs w:val="21"/>
              </w:rPr>
              <w:t>要求适当展开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Cs w:val="21"/>
              </w:rPr>
            </w:pPr>
            <w:r>
              <w:rPr>
                <w:rFonts w:ascii="宋体" w:hAnsi="宋体" w:eastAsia="宋体" w:cs="Times New Roman"/>
                <w:szCs w:val="21"/>
              </w:rPr>
              <w:t>5</w:t>
            </w:r>
          </w:p>
        </w:tc>
        <w:tc>
          <w:tcPr>
            <w:tcW w:w="3467" w:type="dxa"/>
            <w:tcBorders>
              <w:top w:val="single" w:color="auto" w:sz="4" w:space="0"/>
              <w:left w:val="nil"/>
              <w:bottom w:val="single" w:color="auto" w:sz="4" w:space="0"/>
              <w:right w:val="single" w:color="auto" w:sz="4" w:space="0"/>
            </w:tcBorders>
          </w:tcPr>
          <w:p>
            <w:pPr>
              <w:jc w:val="center"/>
              <w:rPr>
                <w:rFonts w:ascii="宋体" w:hAnsi="宋体" w:eastAsia="宋体" w:cs="Times New Roman"/>
                <w:szCs w:val="21"/>
              </w:rPr>
            </w:pPr>
            <w:r>
              <w:rPr>
                <w:rFonts w:hint="eastAsia" w:ascii="宋体" w:hAnsi="宋体" w:eastAsia="宋体" w:cs="Times New Roman"/>
                <w:szCs w:val="21"/>
              </w:rPr>
              <w:t>论述或案例分析</w:t>
            </w:r>
          </w:p>
        </w:tc>
        <w:tc>
          <w:tcPr>
            <w:tcW w:w="849" w:type="dxa"/>
            <w:tcBorders>
              <w:top w:val="single" w:color="auto" w:sz="4" w:space="0"/>
              <w:left w:val="nil"/>
              <w:bottom w:val="single" w:color="auto" w:sz="4" w:space="0"/>
              <w:right w:val="single" w:color="auto" w:sz="4" w:space="0"/>
            </w:tcBorders>
          </w:tcPr>
          <w:p>
            <w:pPr>
              <w:jc w:val="center"/>
              <w:rPr>
                <w:rFonts w:ascii="宋体" w:hAnsi="宋体" w:eastAsia="宋体" w:cs="Times New Roman"/>
                <w:szCs w:val="21"/>
              </w:rPr>
            </w:pPr>
            <w:r>
              <w:rPr>
                <w:rFonts w:hint="eastAsia" w:ascii="宋体" w:hAnsi="宋体" w:eastAsia="宋体" w:cs="Times New Roman"/>
                <w:szCs w:val="21"/>
              </w:rPr>
              <w:t>20</w:t>
            </w:r>
          </w:p>
        </w:tc>
        <w:tc>
          <w:tcPr>
            <w:tcW w:w="3434" w:type="dxa"/>
            <w:tcBorders>
              <w:top w:val="single" w:color="auto" w:sz="4" w:space="0"/>
              <w:left w:val="nil"/>
              <w:bottom w:val="single" w:color="auto" w:sz="4" w:space="0"/>
              <w:right w:val="single" w:color="auto" w:sz="4" w:space="0"/>
            </w:tcBorders>
          </w:tcPr>
          <w:p>
            <w:pPr>
              <w:jc w:val="left"/>
              <w:rPr>
                <w:rFonts w:ascii="Times New Roman" w:hAnsi="Times New Roman" w:eastAsia="宋体" w:cs="Times New Roman"/>
                <w:szCs w:val="21"/>
              </w:rPr>
            </w:pPr>
            <w:r>
              <w:rPr>
                <w:rFonts w:hint="eastAsia" w:ascii="宋体" w:hAnsi="宋体" w:eastAsia="宋体" w:cs="Times New Roman"/>
                <w:szCs w:val="21"/>
              </w:rPr>
              <w:t>要求结合实际、有自己的观点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9"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szCs w:val="21"/>
              </w:rPr>
            </w:pPr>
            <w:r>
              <w:rPr>
                <w:rFonts w:hint="eastAsia" w:ascii="宋体" w:hAnsi="宋体" w:eastAsia="宋体" w:cs="Times New Roman"/>
                <w:szCs w:val="21"/>
              </w:rPr>
              <w:t>合计</w:t>
            </w:r>
          </w:p>
        </w:tc>
        <w:tc>
          <w:tcPr>
            <w:tcW w:w="849" w:type="dxa"/>
            <w:tcBorders>
              <w:top w:val="single" w:color="auto" w:sz="4" w:space="0"/>
              <w:left w:val="nil"/>
              <w:bottom w:val="single" w:color="auto" w:sz="4" w:space="0"/>
              <w:right w:val="single" w:color="auto" w:sz="4" w:space="0"/>
            </w:tcBorders>
          </w:tcPr>
          <w:p>
            <w:pPr>
              <w:jc w:val="center"/>
              <w:rPr>
                <w:rFonts w:ascii="Times New Roman" w:hAnsi="Times New Roman" w:eastAsia="宋体" w:cs="Times New Roman"/>
                <w:szCs w:val="21"/>
              </w:rPr>
            </w:pPr>
            <w:r>
              <w:rPr>
                <w:rFonts w:hint="eastAsia" w:ascii="宋体" w:hAnsi="宋体" w:eastAsia="宋体" w:cs="Times New Roman"/>
                <w:szCs w:val="21"/>
              </w:rPr>
              <w:t>100</w:t>
            </w:r>
          </w:p>
        </w:tc>
        <w:tc>
          <w:tcPr>
            <w:tcW w:w="3434" w:type="dxa"/>
            <w:tcBorders>
              <w:top w:val="single" w:color="auto" w:sz="4" w:space="0"/>
              <w:left w:val="nil"/>
              <w:bottom w:val="single" w:color="auto" w:sz="4" w:space="0"/>
              <w:right w:val="single" w:color="auto" w:sz="4" w:space="0"/>
            </w:tcBorders>
          </w:tcPr>
          <w:p>
            <w:pPr>
              <w:jc w:val="center"/>
              <w:rPr>
                <w:rFonts w:ascii="Times New Roman" w:hAnsi="Times New Roman" w:eastAsia="宋体" w:cs="Times New Roman"/>
                <w:szCs w:val="21"/>
              </w:rPr>
            </w:pPr>
          </w:p>
        </w:tc>
      </w:tr>
    </w:tbl>
    <w:p>
      <w:pPr>
        <w:spacing w:beforeLines="20" w:afterLines="20" w:line="360" w:lineRule="auto"/>
        <w:rPr>
          <w:rFonts w:cs="Times New Roman" w:asciiTheme="minorEastAsia" w:hAnsiTheme="minorEastAsia"/>
          <w:sz w:val="24"/>
          <w:szCs w:val="24"/>
        </w:rPr>
      </w:pPr>
      <w:r>
        <w:rPr>
          <w:rFonts w:hint="eastAsia" w:cs="Times New Roman" w:asciiTheme="minorEastAsia" w:hAnsiTheme="minorEastAsia"/>
          <w:sz w:val="24"/>
          <w:szCs w:val="24"/>
        </w:rPr>
        <w:t>5. 考试时间：2小时</w:t>
      </w:r>
    </w:p>
    <w:p>
      <w:pPr>
        <w:spacing w:beforeLines="100" w:afterLines="50" w:line="360" w:lineRule="auto"/>
        <w:rPr>
          <w:rFonts w:cs="Times New Roman" w:asciiTheme="minorEastAsia" w:hAnsiTheme="minorEastAsia"/>
          <w:sz w:val="24"/>
          <w:szCs w:val="24"/>
        </w:rPr>
      </w:pPr>
      <w:r>
        <w:rPr>
          <w:rFonts w:cs="Times New Roman" w:asciiTheme="minorEastAsia" w:hAnsiTheme="minorEastAsia"/>
          <w:sz w:val="24"/>
          <w:szCs w:val="24"/>
        </w:rPr>
        <w:t>二、考试内容</w:t>
      </w:r>
    </w:p>
    <w:p>
      <w:pPr>
        <w:spacing w:line="360" w:lineRule="auto"/>
        <w:rPr>
          <w:sz w:val="24"/>
        </w:rPr>
      </w:pPr>
      <w:r>
        <w:rPr>
          <w:rFonts w:hint="eastAsia"/>
          <w:sz w:val="24"/>
        </w:rPr>
        <w:t>1、考核目标：</w:t>
      </w:r>
    </w:p>
    <w:p>
      <w:pPr>
        <w:spacing w:line="360" w:lineRule="auto"/>
        <w:rPr>
          <w:rFonts w:hint="eastAsia"/>
          <w:sz w:val="24"/>
        </w:rPr>
      </w:pPr>
      <w:r>
        <w:rPr>
          <w:rFonts w:hint="eastAsia"/>
          <w:sz w:val="24"/>
          <w:lang w:val="en-US" w:eastAsia="zh-Hans"/>
        </w:rPr>
        <w:t>考核</w:t>
      </w:r>
      <w:r>
        <w:rPr>
          <w:rFonts w:hint="eastAsia"/>
          <w:sz w:val="24"/>
        </w:rPr>
        <w:t>考生是否掌握基本的宝石学、市场营销的基本理论、基本方法、基本思维，为后续专业课的学习奠定坚实的基础</w:t>
      </w:r>
      <w:r>
        <w:rPr>
          <w:rFonts w:hint="default"/>
          <w:sz w:val="24"/>
        </w:rPr>
        <w:t>。</w:t>
      </w:r>
    </w:p>
    <w:p>
      <w:pPr>
        <w:spacing w:line="360" w:lineRule="auto"/>
        <w:rPr>
          <w:color w:val="000000"/>
          <w:sz w:val="24"/>
        </w:rPr>
      </w:pPr>
      <w:r>
        <w:rPr>
          <w:rFonts w:hint="eastAsia"/>
          <w:sz w:val="24"/>
        </w:rPr>
        <w:t>2、</w:t>
      </w:r>
      <w:r>
        <w:rPr>
          <w:color w:val="000000"/>
          <w:sz w:val="24"/>
        </w:rPr>
        <w:t>考试内容与形式：</w:t>
      </w:r>
    </w:p>
    <w:p>
      <w:pPr>
        <w:spacing w:line="360" w:lineRule="auto"/>
        <w:rPr>
          <w:rFonts w:hint="eastAsia"/>
          <w:color w:val="000000"/>
          <w:sz w:val="24"/>
        </w:rPr>
      </w:pPr>
      <w:r>
        <w:rPr>
          <w:rFonts w:hint="eastAsia" w:asciiTheme="minorEastAsia" w:hAnsiTheme="minorEastAsia"/>
          <w:sz w:val="24"/>
          <w:szCs w:val="24"/>
        </w:rPr>
        <w:t>①</w:t>
      </w:r>
      <w:r>
        <w:rPr>
          <w:rFonts w:hint="eastAsia"/>
          <w:color w:val="000000"/>
          <w:sz w:val="24"/>
        </w:rPr>
        <w:t>考试内容包括宝石的基本认知和珠宝市场营销的基本理论，占比为宝石学40%，珠宝市场营销学60%。</w:t>
      </w:r>
    </w:p>
    <w:p>
      <w:pPr>
        <w:spacing w:line="360" w:lineRule="auto"/>
        <w:rPr>
          <w:rFonts w:hint="eastAsia" w:asciiTheme="minorEastAsia" w:hAnsiTheme="minorEastAsia"/>
          <w:sz w:val="24"/>
          <w:szCs w:val="24"/>
        </w:rPr>
      </w:pPr>
      <w:r>
        <w:rPr>
          <w:rFonts w:hint="eastAsia" w:asciiTheme="minorEastAsia" w:hAnsiTheme="minorEastAsia"/>
          <w:sz w:val="24"/>
          <w:szCs w:val="24"/>
        </w:rPr>
        <w:t>②按照认知的要求不同将“知识点”分为：知道、理解、掌握三个层次。并按照认知要求制定考题。原则上达到以下百分比要求：“知道”、“理解”、“掌握”分别占20%、30%、50%左右。</w:t>
      </w:r>
    </w:p>
    <w:p>
      <w:pPr>
        <w:spacing w:line="360" w:lineRule="auto"/>
        <w:rPr>
          <w:rFonts w:hint="eastAsia" w:asciiTheme="minorEastAsia" w:hAnsiTheme="minorEastAsia"/>
          <w:sz w:val="24"/>
          <w:szCs w:val="24"/>
        </w:rPr>
      </w:pPr>
      <w:r>
        <w:rPr>
          <w:rFonts w:hint="eastAsia" w:asciiTheme="minorEastAsia" w:hAnsiTheme="minorEastAsia"/>
          <w:sz w:val="24"/>
          <w:szCs w:val="24"/>
        </w:rPr>
        <w:t>③</w:t>
      </w:r>
      <w:r>
        <w:rPr>
          <w:rFonts w:hint="eastAsia" w:asciiTheme="minorEastAsia" w:hAnsiTheme="minorEastAsia"/>
          <w:sz w:val="24"/>
          <w:szCs w:val="24"/>
          <w:lang w:val="en-US" w:eastAsia="zh-Hans"/>
        </w:rPr>
        <w:t>知识点范围与认知程度如下表所示</w:t>
      </w:r>
      <w:r>
        <w:rPr>
          <w:rFonts w:hint="default" w:asciiTheme="minorEastAsia" w:hAnsiTheme="minorEastAsia"/>
          <w:sz w:val="24"/>
          <w:szCs w:val="24"/>
          <w:lang w:eastAsia="zh-Hans"/>
        </w:rPr>
        <w:t>：</w:t>
      </w:r>
    </w:p>
    <w:tbl>
      <w:tblPr>
        <w:tblStyle w:val="6"/>
        <w:tblW w:w="851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2373"/>
        <w:gridCol w:w="4731"/>
        <w:gridCol w:w="14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2373"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知识点</w:t>
            </w:r>
          </w:p>
        </w:tc>
        <w:tc>
          <w:tcPr>
            <w:tcW w:w="4731"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范围</w:t>
            </w:r>
          </w:p>
        </w:tc>
        <w:tc>
          <w:tcPr>
            <w:tcW w:w="1412"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8516" w:type="dxa"/>
            <w:gridSpan w:val="3"/>
            <w:shd w:val="clear" w:color="auto" w:fill="FFFFFF"/>
            <w:tcMar>
              <w:left w:w="105" w:type="dxa"/>
              <w:right w:w="105" w:type="dxa"/>
            </w:tcMar>
            <w:vAlign w:val="center"/>
          </w:tcPr>
          <w:p>
            <w:pPr>
              <w:spacing w:line="360" w:lineRule="auto"/>
              <w:ind w:firstLine="480"/>
              <w:jc w:val="center"/>
              <w:rPr>
                <w:rFonts w:hint="eastAsia"/>
                <w:sz w:val="21"/>
                <w:szCs w:val="20"/>
              </w:rPr>
            </w:pPr>
            <w:r>
              <w:rPr>
                <w:rFonts w:hint="eastAsia"/>
                <w:sz w:val="21"/>
                <w:szCs w:val="20"/>
              </w:rPr>
              <w:t>模块1.</w:t>
            </w:r>
            <w:r>
              <w:rPr>
                <w:rFonts w:hint="eastAsia"/>
                <w:sz w:val="21"/>
                <w:szCs w:val="20"/>
                <w:lang w:val="en-US" w:eastAsia="zh-Hans"/>
              </w:rPr>
              <w:t>宝石的分类及命名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453"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（1）</w:t>
            </w:r>
            <w:r>
              <w:rPr>
                <w:rFonts w:hint="eastAsia"/>
                <w:sz w:val="21"/>
                <w:szCs w:val="20"/>
                <w:lang w:val="en-US" w:eastAsia="zh-Hans"/>
              </w:rPr>
              <w:t>宝石的分类</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宝石的定义</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453"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我国宝石分类的国家标准</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2373"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（2）</w:t>
            </w:r>
            <w:r>
              <w:rPr>
                <w:rFonts w:hint="eastAsia"/>
                <w:sz w:val="21"/>
                <w:szCs w:val="20"/>
                <w:lang w:val="en-US" w:eastAsia="zh-Hans"/>
              </w:rPr>
              <w:t>宝石的命名</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宝石定名总则</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8516" w:type="dxa"/>
            <w:gridSpan w:val="3"/>
            <w:shd w:val="clear" w:color="auto" w:fill="FFFFFF"/>
            <w:tcMar>
              <w:left w:w="105" w:type="dxa"/>
              <w:right w:w="105" w:type="dxa"/>
            </w:tcMar>
            <w:vAlign w:val="center"/>
          </w:tcPr>
          <w:p>
            <w:pPr>
              <w:spacing w:line="360" w:lineRule="auto"/>
              <w:ind w:firstLine="480"/>
              <w:jc w:val="center"/>
              <w:rPr>
                <w:rFonts w:hint="eastAsia"/>
                <w:sz w:val="21"/>
                <w:szCs w:val="20"/>
              </w:rPr>
            </w:pPr>
            <w:r>
              <w:rPr>
                <w:rFonts w:hint="eastAsia"/>
                <w:sz w:val="21"/>
                <w:szCs w:val="20"/>
              </w:rPr>
              <w:t>模块2．</w:t>
            </w:r>
            <w:r>
              <w:rPr>
                <w:rFonts w:hint="eastAsia"/>
                <w:sz w:val="21"/>
                <w:szCs w:val="20"/>
                <w:lang w:val="en-US" w:eastAsia="zh-Hans"/>
              </w:rPr>
              <w:t>宝石的光学性质和力学性质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27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（1）</w:t>
            </w:r>
            <w:r>
              <w:rPr>
                <w:rFonts w:hint="eastAsia"/>
                <w:sz w:val="21"/>
                <w:szCs w:val="20"/>
                <w:lang w:val="en-US" w:eastAsia="zh-Hans"/>
              </w:rPr>
              <w:t>宝石的光学性质</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光泽</w:t>
            </w:r>
            <w:r>
              <w:rPr>
                <w:rFonts w:hint="default"/>
                <w:sz w:val="21"/>
                <w:szCs w:val="20"/>
                <w:lang w:eastAsia="zh-Hans"/>
              </w:rPr>
              <w:t>、</w:t>
            </w:r>
            <w:r>
              <w:rPr>
                <w:rFonts w:hint="eastAsia"/>
                <w:sz w:val="21"/>
                <w:szCs w:val="20"/>
                <w:lang w:val="en-US" w:eastAsia="zh-Hans"/>
              </w:rPr>
              <w:t>亮度</w:t>
            </w:r>
            <w:r>
              <w:rPr>
                <w:rFonts w:hint="default"/>
                <w:sz w:val="21"/>
                <w:szCs w:val="20"/>
                <w:lang w:eastAsia="zh-Hans"/>
              </w:rPr>
              <w:t>、</w:t>
            </w:r>
            <w:r>
              <w:rPr>
                <w:rFonts w:hint="eastAsia"/>
                <w:sz w:val="21"/>
                <w:szCs w:val="20"/>
                <w:lang w:val="en-US" w:eastAsia="zh-Hans"/>
              </w:rPr>
              <w:t>透明度</w:t>
            </w:r>
            <w:r>
              <w:rPr>
                <w:rFonts w:hint="default"/>
                <w:sz w:val="21"/>
                <w:szCs w:val="20"/>
                <w:lang w:eastAsia="zh-Hans"/>
              </w:rPr>
              <w:t>、</w:t>
            </w:r>
            <w:r>
              <w:rPr>
                <w:rFonts w:hint="eastAsia"/>
                <w:sz w:val="21"/>
                <w:szCs w:val="20"/>
                <w:lang w:val="en-US" w:eastAsia="zh-Hans"/>
              </w:rPr>
              <w:t>色散的定义及级别</w:t>
            </w:r>
          </w:p>
        </w:tc>
        <w:tc>
          <w:tcPr>
            <w:tcW w:w="1412"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552"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单折射与双折射</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颜色及多色性</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宝石的特殊光学效应</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w:t>
            </w:r>
            <w:r>
              <w:rPr>
                <w:rFonts w:hint="default"/>
                <w:sz w:val="21"/>
                <w:szCs w:val="20"/>
              </w:rPr>
              <w:t>2）</w:t>
            </w:r>
            <w:r>
              <w:rPr>
                <w:rFonts w:hint="eastAsia"/>
                <w:sz w:val="21"/>
                <w:szCs w:val="20"/>
                <w:lang w:val="en-US" w:eastAsia="zh-Hans"/>
              </w:rPr>
              <w:t>宝石的力学性质</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摩氏硬度</w:t>
            </w:r>
          </w:p>
        </w:tc>
        <w:tc>
          <w:tcPr>
            <w:tcW w:w="1412"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解理</w:t>
            </w:r>
            <w:r>
              <w:rPr>
                <w:rFonts w:hint="default"/>
                <w:sz w:val="21"/>
                <w:szCs w:val="20"/>
                <w:lang w:eastAsia="zh-Hans"/>
              </w:rPr>
              <w:t>、</w:t>
            </w:r>
            <w:r>
              <w:rPr>
                <w:rFonts w:hint="eastAsia"/>
                <w:sz w:val="21"/>
                <w:szCs w:val="20"/>
                <w:lang w:val="en-US" w:eastAsia="zh-Hans"/>
              </w:rPr>
              <w:t>裂理和断口</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相对密度</w:t>
            </w:r>
          </w:p>
        </w:tc>
        <w:tc>
          <w:tcPr>
            <w:tcW w:w="1412"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555" w:hRule="atLeast"/>
        </w:trPr>
        <w:tc>
          <w:tcPr>
            <w:tcW w:w="8516" w:type="dxa"/>
            <w:gridSpan w:val="3"/>
            <w:shd w:val="clear" w:color="auto" w:fill="FFFFFF"/>
            <w:tcMar>
              <w:left w:w="105" w:type="dxa"/>
              <w:right w:w="105" w:type="dxa"/>
            </w:tcMar>
            <w:vAlign w:val="center"/>
          </w:tcPr>
          <w:p>
            <w:pPr>
              <w:spacing w:line="360" w:lineRule="auto"/>
              <w:ind w:firstLine="480"/>
              <w:jc w:val="center"/>
              <w:rPr>
                <w:rFonts w:hint="eastAsia"/>
                <w:sz w:val="21"/>
                <w:szCs w:val="20"/>
              </w:rPr>
            </w:pPr>
            <w:r>
              <w:rPr>
                <w:rFonts w:hint="eastAsia"/>
                <w:sz w:val="21"/>
                <w:szCs w:val="20"/>
              </w:rPr>
              <w:t>模块3．</w:t>
            </w:r>
            <w:r>
              <w:rPr>
                <w:rFonts w:hint="eastAsia"/>
                <w:sz w:val="21"/>
                <w:szCs w:val="20"/>
                <w:lang w:val="en-US" w:eastAsia="zh-Hans"/>
              </w:rPr>
              <w:t>宝石加工工艺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555"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（1）</w:t>
            </w:r>
            <w:r>
              <w:rPr>
                <w:rFonts w:hint="eastAsia"/>
                <w:sz w:val="21"/>
                <w:szCs w:val="20"/>
                <w:lang w:val="en-US" w:eastAsia="zh-Hans"/>
              </w:rPr>
              <w:t>宝石切磨工艺</w:t>
            </w: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弧面琢型的加工工艺及适用范围</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刻面琢型的加工工艺及适用范围</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（2）</w:t>
            </w:r>
            <w:r>
              <w:rPr>
                <w:rFonts w:hint="eastAsia"/>
                <w:sz w:val="21"/>
                <w:szCs w:val="20"/>
                <w:lang w:val="en-US" w:eastAsia="zh-Hans"/>
              </w:rPr>
              <w:t>宝石琢型款式</w:t>
            </w: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标准圆钻琢型</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其他琢型</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c>
          <w:tcPr>
            <w:tcW w:w="2373"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（3）</w:t>
            </w:r>
            <w:r>
              <w:rPr>
                <w:rFonts w:hint="eastAsia"/>
                <w:sz w:val="21"/>
                <w:szCs w:val="20"/>
                <w:lang w:val="en-US" w:eastAsia="zh-Hans"/>
              </w:rPr>
              <w:t>宝石镶嵌工艺</w:t>
            </w: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镶嵌类型</w:t>
            </w:r>
          </w:p>
        </w:tc>
        <w:tc>
          <w:tcPr>
            <w:tcW w:w="1412"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lang w:val="en-US" w:eastAsia="zh-Hans"/>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8516" w:type="dxa"/>
            <w:gridSpan w:val="3"/>
            <w:shd w:val="clear" w:color="auto" w:fill="FFFFFF"/>
            <w:tcMar>
              <w:left w:w="105" w:type="dxa"/>
              <w:right w:w="105" w:type="dxa"/>
            </w:tcMar>
            <w:vAlign w:val="center"/>
          </w:tcPr>
          <w:p>
            <w:pPr>
              <w:spacing w:line="360" w:lineRule="auto"/>
              <w:ind w:firstLine="480"/>
              <w:jc w:val="center"/>
              <w:rPr>
                <w:rFonts w:hint="eastAsia"/>
                <w:sz w:val="21"/>
                <w:szCs w:val="20"/>
              </w:rPr>
            </w:pPr>
            <w:r>
              <w:rPr>
                <w:rFonts w:hint="eastAsia"/>
                <w:sz w:val="21"/>
                <w:szCs w:val="20"/>
              </w:rPr>
              <w:t>模块4.</w:t>
            </w:r>
            <w:r>
              <w:rPr>
                <w:rFonts w:hint="eastAsia"/>
                <w:sz w:val="21"/>
                <w:szCs w:val="20"/>
                <w:lang w:val="en-US" w:eastAsia="zh-Hans"/>
              </w:rPr>
              <w:t>宝石各论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（1）</w:t>
            </w:r>
            <w:r>
              <w:rPr>
                <w:rFonts w:hint="eastAsia"/>
                <w:sz w:val="21"/>
                <w:szCs w:val="20"/>
                <w:lang w:val="en-US" w:eastAsia="zh-Hans"/>
              </w:rPr>
              <w:t>钻石</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化学成分</w:t>
            </w:r>
            <w:r>
              <w:rPr>
                <w:rFonts w:hint="default"/>
                <w:sz w:val="21"/>
                <w:szCs w:val="20"/>
                <w:lang w:eastAsia="zh-Hans"/>
              </w:rPr>
              <w:t>、</w:t>
            </w:r>
            <w:r>
              <w:rPr>
                <w:rFonts w:hint="eastAsia"/>
                <w:sz w:val="21"/>
                <w:szCs w:val="20"/>
                <w:lang w:val="en-US" w:eastAsia="zh-Hans"/>
              </w:rPr>
              <w:t>晶系及结构</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钻石的力学性质</w:t>
            </w:r>
            <w:r>
              <w:rPr>
                <w:rFonts w:hint="default"/>
                <w:sz w:val="21"/>
                <w:szCs w:val="20"/>
                <w:lang w:eastAsia="zh-Hans"/>
              </w:rPr>
              <w:t>、</w:t>
            </w:r>
            <w:r>
              <w:rPr>
                <w:rFonts w:hint="eastAsia"/>
                <w:sz w:val="21"/>
                <w:szCs w:val="20"/>
                <w:lang w:val="en-US" w:eastAsia="zh-Hans"/>
              </w:rPr>
              <w:t>钻石的光学性质</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（2）</w:t>
            </w:r>
            <w:r>
              <w:rPr>
                <w:rFonts w:hint="eastAsia"/>
                <w:sz w:val="21"/>
                <w:szCs w:val="20"/>
                <w:lang w:val="en-US" w:eastAsia="zh-Hans"/>
              </w:rPr>
              <w:t>常见单晶宝石</w:t>
            </w:r>
          </w:p>
        </w:tc>
        <w:tc>
          <w:tcPr>
            <w:tcW w:w="4731"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lang w:val="en-US" w:eastAsia="zh-Hans"/>
              </w:rPr>
              <w:t>红蓝宝的基本宝石学特征</w:t>
            </w:r>
          </w:p>
        </w:tc>
        <w:tc>
          <w:tcPr>
            <w:tcW w:w="1412"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红蓝宝的优化处理方法与鉴别</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（3）</w:t>
            </w:r>
            <w:r>
              <w:rPr>
                <w:rFonts w:hint="eastAsia"/>
                <w:sz w:val="21"/>
                <w:szCs w:val="20"/>
                <w:lang w:val="en-US" w:eastAsia="zh-Hans"/>
              </w:rPr>
              <w:t>常见非晶质及多晶质宝石</w:t>
            </w: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欧泊</w:t>
            </w:r>
            <w:r>
              <w:rPr>
                <w:rFonts w:hint="default"/>
                <w:sz w:val="21"/>
                <w:szCs w:val="20"/>
                <w:lang w:eastAsia="zh-Hans"/>
              </w:rPr>
              <w:t>、</w:t>
            </w:r>
            <w:r>
              <w:rPr>
                <w:rFonts w:hint="eastAsia"/>
                <w:sz w:val="21"/>
                <w:szCs w:val="20"/>
                <w:lang w:val="en-US" w:eastAsia="zh-Hans"/>
              </w:rPr>
              <w:t>软玉、翡翠的基本宝石学特征</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（4）</w:t>
            </w:r>
            <w:r>
              <w:rPr>
                <w:rFonts w:hint="eastAsia"/>
                <w:sz w:val="21"/>
                <w:szCs w:val="20"/>
                <w:lang w:val="en-US" w:eastAsia="zh-Hans"/>
              </w:rPr>
              <w:t>有机宝石</w:t>
            </w: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珍珠</w:t>
            </w:r>
            <w:r>
              <w:rPr>
                <w:rFonts w:hint="default"/>
                <w:sz w:val="21"/>
                <w:szCs w:val="20"/>
                <w:lang w:eastAsia="zh-Hans"/>
              </w:rPr>
              <w:t>、</w:t>
            </w:r>
            <w:r>
              <w:rPr>
                <w:rFonts w:hint="eastAsia"/>
                <w:sz w:val="21"/>
                <w:szCs w:val="20"/>
                <w:lang w:val="en-US" w:eastAsia="zh-Hans"/>
              </w:rPr>
              <w:t>珊瑚</w:t>
            </w:r>
            <w:r>
              <w:rPr>
                <w:rFonts w:hint="default"/>
                <w:sz w:val="21"/>
                <w:szCs w:val="20"/>
                <w:lang w:eastAsia="zh-Hans"/>
              </w:rPr>
              <w:t>、</w:t>
            </w:r>
            <w:r>
              <w:rPr>
                <w:rFonts w:hint="eastAsia"/>
                <w:sz w:val="21"/>
                <w:szCs w:val="20"/>
                <w:lang w:val="en-US" w:eastAsia="zh-Hans"/>
              </w:rPr>
              <w:t>琥珀</w:t>
            </w:r>
            <w:r>
              <w:rPr>
                <w:rFonts w:hint="default"/>
                <w:sz w:val="21"/>
                <w:szCs w:val="20"/>
                <w:lang w:eastAsia="zh-Hans"/>
              </w:rPr>
              <w:t>、</w:t>
            </w:r>
            <w:r>
              <w:rPr>
                <w:rFonts w:hint="eastAsia"/>
                <w:sz w:val="21"/>
                <w:szCs w:val="20"/>
                <w:lang w:val="en-US" w:eastAsia="zh-Hans"/>
              </w:rPr>
              <w:t>象牙的基本宝石学特征</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8516" w:type="dxa"/>
            <w:gridSpan w:val="3"/>
            <w:shd w:val="clear" w:color="auto" w:fill="FFFFFF"/>
            <w:tcMar>
              <w:left w:w="105" w:type="dxa"/>
              <w:right w:w="105" w:type="dxa"/>
            </w:tcMar>
            <w:vAlign w:val="center"/>
          </w:tcPr>
          <w:p>
            <w:pPr>
              <w:spacing w:line="360" w:lineRule="auto"/>
              <w:ind w:firstLine="480"/>
              <w:jc w:val="center"/>
              <w:rPr>
                <w:rFonts w:hint="eastAsia"/>
                <w:sz w:val="21"/>
                <w:szCs w:val="20"/>
              </w:rPr>
            </w:pPr>
            <w:r>
              <w:rPr>
                <w:rFonts w:hint="eastAsia"/>
                <w:sz w:val="21"/>
                <w:szCs w:val="20"/>
              </w:rPr>
              <w:t>模块5.</w:t>
            </w:r>
            <w:r>
              <w:rPr>
                <w:rFonts w:hint="eastAsia"/>
                <w:sz w:val="21"/>
                <w:szCs w:val="20"/>
                <w:lang w:val="en-US" w:eastAsia="zh-Hans"/>
              </w:rPr>
              <w:t>珠宝及珠宝市场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（1）</w:t>
            </w:r>
            <w:r>
              <w:rPr>
                <w:rFonts w:hint="eastAsia"/>
                <w:sz w:val="21"/>
                <w:szCs w:val="20"/>
                <w:lang w:val="en-US" w:eastAsia="zh-Hans"/>
              </w:rPr>
              <w:t>珠宝的商品属性</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珠宝的含义与类型</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珠宝的属性</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（2）</w:t>
            </w:r>
            <w:r>
              <w:rPr>
                <w:rFonts w:hint="eastAsia"/>
                <w:sz w:val="21"/>
                <w:szCs w:val="20"/>
                <w:lang w:val="en-US" w:eastAsia="zh-Hans"/>
              </w:rPr>
              <w:t>珠宝市场类型</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市场的概念</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四种珠宝市场类型</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（3）</w:t>
            </w:r>
            <w:r>
              <w:rPr>
                <w:rFonts w:hint="eastAsia"/>
                <w:sz w:val="21"/>
                <w:szCs w:val="20"/>
                <w:lang w:val="en-US" w:eastAsia="zh-Hans"/>
              </w:rPr>
              <w:t>中国珠宝市场发展概况</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中国珠宝市场发展的三个阶段</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8516" w:type="dxa"/>
            <w:gridSpan w:val="3"/>
            <w:shd w:val="clear" w:color="auto" w:fill="FFFFFF"/>
            <w:tcMar>
              <w:left w:w="105" w:type="dxa"/>
              <w:right w:w="105" w:type="dxa"/>
            </w:tcMar>
            <w:vAlign w:val="center"/>
          </w:tcPr>
          <w:p>
            <w:pPr>
              <w:spacing w:line="360" w:lineRule="auto"/>
              <w:ind w:firstLine="480"/>
              <w:jc w:val="center"/>
              <w:rPr>
                <w:rFonts w:hint="eastAsia"/>
                <w:sz w:val="21"/>
                <w:szCs w:val="20"/>
              </w:rPr>
            </w:pPr>
            <w:r>
              <w:rPr>
                <w:rFonts w:hint="eastAsia"/>
                <w:sz w:val="21"/>
                <w:szCs w:val="20"/>
              </w:rPr>
              <w:t>模块6.</w:t>
            </w:r>
            <w:r>
              <w:rPr>
                <w:rFonts w:hint="eastAsia"/>
                <w:sz w:val="21"/>
                <w:szCs w:val="20"/>
                <w:lang w:val="en-US" w:eastAsia="zh-Hans"/>
              </w:rPr>
              <w:t>市场调研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（1）</w:t>
            </w:r>
            <w:r>
              <w:rPr>
                <w:rFonts w:hint="eastAsia"/>
                <w:sz w:val="21"/>
                <w:szCs w:val="20"/>
                <w:lang w:val="en-US" w:eastAsia="zh-Hans"/>
              </w:rPr>
              <w:t>信息对珠宝营销决策的影响</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宏观环境信息</w:t>
            </w:r>
            <w:r>
              <w:rPr>
                <w:rFonts w:hint="default"/>
                <w:sz w:val="21"/>
                <w:szCs w:val="20"/>
                <w:lang w:eastAsia="zh-Hans"/>
              </w:rPr>
              <w:t>、</w:t>
            </w:r>
            <w:r>
              <w:rPr>
                <w:rFonts w:hint="eastAsia"/>
                <w:sz w:val="21"/>
                <w:szCs w:val="20"/>
                <w:lang w:val="en-US" w:eastAsia="zh-Hans"/>
              </w:rPr>
              <w:t>市场环境信息</w:t>
            </w:r>
            <w:r>
              <w:rPr>
                <w:rFonts w:hint="default"/>
                <w:sz w:val="21"/>
                <w:szCs w:val="20"/>
                <w:lang w:eastAsia="zh-Hans"/>
              </w:rPr>
              <w:t>、</w:t>
            </w:r>
            <w:r>
              <w:rPr>
                <w:rFonts w:hint="eastAsia"/>
                <w:sz w:val="21"/>
                <w:szCs w:val="20"/>
                <w:lang w:val="en-US" w:eastAsia="zh-Hans"/>
              </w:rPr>
              <w:t>企业环境信息</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lang w:val="en-US" w:eastAsia="zh-Hans"/>
              </w:rPr>
              <w:t>珠宝营销应关注的信息</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w:t>
            </w:r>
            <w:r>
              <w:rPr>
                <w:rFonts w:hint="default"/>
                <w:sz w:val="21"/>
                <w:szCs w:val="20"/>
              </w:rPr>
              <w:t>2</w:t>
            </w:r>
            <w:r>
              <w:rPr>
                <w:rFonts w:hint="eastAsia"/>
                <w:sz w:val="21"/>
                <w:szCs w:val="20"/>
              </w:rPr>
              <w:t>）</w:t>
            </w:r>
            <w:r>
              <w:rPr>
                <w:rFonts w:hint="eastAsia"/>
                <w:sz w:val="21"/>
                <w:szCs w:val="20"/>
                <w:lang w:val="en-US" w:eastAsia="zh-Hans"/>
              </w:rPr>
              <w:t>市场调研的内容与方法</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市场调研目的与内容</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市场调研的方法</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8516" w:type="dxa"/>
            <w:gridSpan w:val="3"/>
            <w:shd w:val="clear" w:color="auto" w:fill="FFFFFF"/>
            <w:tcMar>
              <w:left w:w="105" w:type="dxa"/>
              <w:right w:w="105" w:type="dxa"/>
            </w:tcMar>
            <w:vAlign w:val="center"/>
          </w:tcPr>
          <w:p>
            <w:pPr>
              <w:spacing w:line="360" w:lineRule="auto"/>
              <w:ind w:firstLine="480"/>
              <w:jc w:val="center"/>
              <w:rPr>
                <w:rFonts w:hint="eastAsia"/>
                <w:sz w:val="21"/>
                <w:szCs w:val="20"/>
              </w:rPr>
            </w:pPr>
            <w:r>
              <w:rPr>
                <w:rFonts w:hint="eastAsia"/>
                <w:sz w:val="21"/>
                <w:szCs w:val="20"/>
              </w:rPr>
              <w:t>模块7.</w:t>
            </w:r>
            <w:r>
              <w:rPr>
                <w:rFonts w:hint="eastAsia"/>
                <w:sz w:val="21"/>
                <w:szCs w:val="20"/>
                <w:lang w:val="en-US" w:eastAsia="zh-Hans"/>
              </w:rPr>
              <w:t>消费者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（1）</w:t>
            </w:r>
            <w:r>
              <w:rPr>
                <w:rFonts w:hint="eastAsia"/>
                <w:sz w:val="21"/>
                <w:szCs w:val="20"/>
                <w:lang w:val="en-US" w:eastAsia="zh-Hans"/>
              </w:rPr>
              <w:t>珠宝首饰购买者</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马斯洛需求层次论</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消费者购买珠宝首饰的心理动机</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消费者购买珠宝首饰的目的</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（2）</w:t>
            </w:r>
            <w:r>
              <w:rPr>
                <w:rFonts w:hint="eastAsia"/>
                <w:sz w:val="21"/>
                <w:szCs w:val="20"/>
                <w:lang w:val="en-US" w:eastAsia="zh-Hans"/>
              </w:rPr>
              <w:t>影响消费者购买行为的因素</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经济因素</w:t>
            </w:r>
            <w:r>
              <w:rPr>
                <w:rFonts w:hint="default"/>
                <w:sz w:val="21"/>
                <w:szCs w:val="20"/>
                <w:lang w:eastAsia="zh-Hans"/>
              </w:rPr>
              <w:t>、</w:t>
            </w:r>
            <w:r>
              <w:rPr>
                <w:rFonts w:hint="eastAsia"/>
                <w:sz w:val="21"/>
                <w:szCs w:val="20"/>
                <w:lang w:val="en-US" w:eastAsia="zh-Hans"/>
              </w:rPr>
              <w:t>社会因素</w:t>
            </w:r>
            <w:r>
              <w:rPr>
                <w:rFonts w:hint="default"/>
                <w:sz w:val="21"/>
                <w:szCs w:val="20"/>
                <w:lang w:eastAsia="zh-Hans"/>
              </w:rPr>
              <w:t>、</w:t>
            </w:r>
            <w:r>
              <w:rPr>
                <w:rFonts w:hint="eastAsia"/>
                <w:sz w:val="21"/>
                <w:szCs w:val="20"/>
                <w:lang w:val="en-US" w:eastAsia="zh-Hans"/>
              </w:rPr>
              <w:t>个人因素</w:t>
            </w:r>
            <w:r>
              <w:rPr>
                <w:rFonts w:hint="default"/>
                <w:sz w:val="21"/>
                <w:szCs w:val="20"/>
                <w:lang w:eastAsia="zh-Hans"/>
              </w:rPr>
              <w:t>、</w:t>
            </w:r>
            <w:r>
              <w:rPr>
                <w:rFonts w:hint="eastAsia"/>
                <w:sz w:val="21"/>
                <w:szCs w:val="20"/>
                <w:lang w:val="en-US" w:eastAsia="zh-Hans"/>
              </w:rPr>
              <w:t>企业因素</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边际效用递减规律</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8516" w:type="dxa"/>
            <w:gridSpan w:val="3"/>
            <w:shd w:val="clear" w:color="auto" w:fill="FFFFFF"/>
            <w:tcMar>
              <w:left w:w="105" w:type="dxa"/>
              <w:right w:w="105" w:type="dxa"/>
            </w:tcMar>
            <w:vAlign w:val="center"/>
          </w:tcPr>
          <w:p>
            <w:pPr>
              <w:spacing w:line="360" w:lineRule="auto"/>
              <w:ind w:firstLine="480"/>
              <w:jc w:val="center"/>
              <w:rPr>
                <w:rFonts w:hint="eastAsia"/>
                <w:sz w:val="21"/>
                <w:szCs w:val="20"/>
              </w:rPr>
            </w:pPr>
            <w:r>
              <w:rPr>
                <w:rFonts w:hint="eastAsia"/>
                <w:sz w:val="21"/>
                <w:szCs w:val="20"/>
              </w:rPr>
              <w:t>模块8.</w:t>
            </w:r>
            <w:r>
              <w:rPr>
                <w:rFonts w:hint="eastAsia"/>
                <w:sz w:val="21"/>
                <w:szCs w:val="20"/>
                <w:lang w:val="en-US" w:eastAsia="zh-Hans"/>
              </w:rPr>
              <w:t>企业战略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（1）</w:t>
            </w:r>
            <w:r>
              <w:rPr>
                <w:rFonts w:hint="eastAsia"/>
                <w:sz w:val="21"/>
                <w:szCs w:val="20"/>
                <w:lang w:val="en-US" w:eastAsia="zh-Hans"/>
              </w:rPr>
              <w:t>swot分析法</w:t>
            </w:r>
          </w:p>
        </w:tc>
        <w:tc>
          <w:tcPr>
            <w:tcW w:w="4731"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lang w:val="en-US" w:eastAsia="zh-Hans"/>
              </w:rPr>
              <w:t>swot分析法</w:t>
            </w:r>
            <w:r>
              <w:rPr>
                <w:rFonts w:hint="eastAsia"/>
                <w:sz w:val="21"/>
                <w:szCs w:val="20"/>
              </w:rPr>
              <w:t>的概念</w:t>
            </w:r>
          </w:p>
        </w:tc>
        <w:tc>
          <w:tcPr>
            <w:tcW w:w="1412"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构造swot分析矩阵</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（2）</w:t>
            </w:r>
            <w:r>
              <w:rPr>
                <w:rFonts w:hint="eastAsia"/>
                <w:sz w:val="21"/>
                <w:szCs w:val="20"/>
                <w:lang w:val="en-US" w:eastAsia="zh-Hans"/>
              </w:rPr>
              <w:t>行业演进下的珠宝战略</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市场演进三个阶段</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行业演进下的战略模式</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8516" w:type="dxa"/>
            <w:gridSpan w:val="3"/>
            <w:shd w:val="clear" w:color="auto" w:fill="FFFFFF"/>
            <w:tcMar>
              <w:left w:w="105" w:type="dxa"/>
              <w:right w:w="105" w:type="dxa"/>
            </w:tcMar>
            <w:vAlign w:val="center"/>
          </w:tcPr>
          <w:p>
            <w:pPr>
              <w:spacing w:line="360" w:lineRule="auto"/>
              <w:ind w:firstLine="480"/>
              <w:jc w:val="center"/>
              <w:rPr>
                <w:rFonts w:hint="eastAsia"/>
                <w:sz w:val="21"/>
                <w:szCs w:val="20"/>
              </w:rPr>
            </w:pPr>
            <w:r>
              <w:rPr>
                <w:rFonts w:hint="eastAsia"/>
                <w:sz w:val="21"/>
                <w:szCs w:val="20"/>
              </w:rPr>
              <w:t>模块9.</w:t>
            </w:r>
            <w:r>
              <w:rPr>
                <w:rFonts w:hint="eastAsia"/>
                <w:sz w:val="21"/>
                <w:szCs w:val="20"/>
                <w:lang w:val="en-US" w:eastAsia="zh-Hans"/>
              </w:rPr>
              <w:t>市场竞争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（1）</w:t>
            </w:r>
            <w:r>
              <w:rPr>
                <w:rFonts w:hint="eastAsia"/>
                <w:sz w:val="21"/>
                <w:szCs w:val="20"/>
                <w:lang w:val="en-US" w:eastAsia="zh-Hans"/>
              </w:rPr>
              <w:t>市场竞争概述</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市场竞争类型</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我国珠宝市场竞争特点</w:t>
            </w:r>
          </w:p>
        </w:tc>
        <w:tc>
          <w:tcPr>
            <w:tcW w:w="1412"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（2）</w:t>
            </w:r>
            <w:r>
              <w:rPr>
                <w:rFonts w:hint="eastAsia"/>
                <w:sz w:val="21"/>
                <w:szCs w:val="20"/>
                <w:lang w:val="en-US" w:eastAsia="zh-Hans"/>
              </w:rPr>
              <w:t>珠宝企业竞争战略选择</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波特五力模型</w:t>
            </w:r>
          </w:p>
        </w:tc>
        <w:tc>
          <w:tcPr>
            <w:tcW w:w="1412"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不同竞争态势分析与战略选择</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8516" w:type="dxa"/>
            <w:gridSpan w:val="3"/>
            <w:shd w:val="clear" w:color="auto" w:fill="FFFFFF"/>
            <w:tcMar>
              <w:left w:w="105" w:type="dxa"/>
              <w:right w:w="105" w:type="dxa"/>
            </w:tcMar>
            <w:vAlign w:val="center"/>
          </w:tcPr>
          <w:p>
            <w:pPr>
              <w:spacing w:line="360" w:lineRule="auto"/>
              <w:ind w:firstLine="480"/>
              <w:jc w:val="center"/>
              <w:rPr>
                <w:rFonts w:hint="eastAsia"/>
                <w:sz w:val="21"/>
                <w:szCs w:val="20"/>
              </w:rPr>
            </w:pPr>
            <w:r>
              <w:rPr>
                <w:rFonts w:hint="eastAsia"/>
                <w:sz w:val="21"/>
                <w:szCs w:val="20"/>
              </w:rPr>
              <w:t>模块10.</w:t>
            </w:r>
            <w:r>
              <w:rPr>
                <w:rFonts w:hint="eastAsia"/>
                <w:sz w:val="21"/>
                <w:szCs w:val="20"/>
                <w:lang w:val="en-US" w:eastAsia="zh-Hans"/>
              </w:rPr>
              <w:t>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（1）</w:t>
            </w:r>
            <w:r>
              <w:rPr>
                <w:rFonts w:hint="eastAsia"/>
                <w:sz w:val="21"/>
                <w:szCs w:val="20"/>
                <w:lang w:val="en-US" w:eastAsia="zh-Hans"/>
              </w:rPr>
              <w:t>品牌的概念和特征</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品牌的定义</w:t>
            </w:r>
            <w:r>
              <w:rPr>
                <w:rFonts w:hint="default"/>
                <w:sz w:val="21"/>
                <w:szCs w:val="20"/>
                <w:lang w:eastAsia="zh-Hans"/>
              </w:rPr>
              <w:t>、</w:t>
            </w:r>
            <w:r>
              <w:rPr>
                <w:rFonts w:hint="eastAsia"/>
                <w:sz w:val="21"/>
                <w:szCs w:val="20"/>
                <w:lang w:val="en-US" w:eastAsia="zh-Hans"/>
              </w:rPr>
              <w:t>品牌的含义、品牌的内涵</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品牌的作用</w:t>
            </w:r>
          </w:p>
        </w:tc>
        <w:tc>
          <w:tcPr>
            <w:tcW w:w="1412"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（2）</w:t>
            </w:r>
            <w:r>
              <w:rPr>
                <w:rFonts w:hint="eastAsia"/>
                <w:sz w:val="21"/>
                <w:szCs w:val="20"/>
                <w:lang w:val="en-US" w:eastAsia="zh-Hans"/>
              </w:rPr>
              <w:t>我国珠宝行业品牌建设现状</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建设背景</w:t>
            </w:r>
            <w:r>
              <w:rPr>
                <w:rFonts w:hint="default"/>
                <w:sz w:val="21"/>
                <w:szCs w:val="20"/>
                <w:lang w:eastAsia="zh-Hans"/>
              </w:rPr>
              <w:t>、</w:t>
            </w:r>
            <w:r>
              <w:rPr>
                <w:rFonts w:hint="eastAsia"/>
                <w:sz w:val="21"/>
                <w:szCs w:val="20"/>
                <w:lang w:val="en-US" w:eastAsia="zh-Hans"/>
              </w:rPr>
              <w:t>过程</w:t>
            </w:r>
            <w:r>
              <w:rPr>
                <w:rFonts w:hint="default"/>
                <w:sz w:val="21"/>
                <w:szCs w:val="20"/>
                <w:lang w:eastAsia="zh-Hans"/>
              </w:rPr>
              <w:t>、</w:t>
            </w:r>
            <w:r>
              <w:rPr>
                <w:rFonts w:hint="eastAsia"/>
                <w:sz w:val="21"/>
                <w:szCs w:val="20"/>
                <w:lang w:val="en-US" w:eastAsia="zh-Hans"/>
              </w:rPr>
              <w:t>现状</w:t>
            </w:r>
          </w:p>
        </w:tc>
        <w:tc>
          <w:tcPr>
            <w:tcW w:w="1412"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eastAsia"/>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我国珠宝品牌发展的制约因素</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8516" w:type="dxa"/>
            <w:gridSpan w:val="3"/>
            <w:shd w:val="clear" w:color="auto" w:fill="FFFFFF"/>
            <w:tcMar>
              <w:left w:w="105" w:type="dxa"/>
              <w:right w:w="105" w:type="dxa"/>
            </w:tcMar>
            <w:vAlign w:val="center"/>
          </w:tcPr>
          <w:p>
            <w:pPr>
              <w:spacing w:line="360" w:lineRule="auto"/>
              <w:ind w:firstLine="480"/>
              <w:jc w:val="center"/>
              <w:rPr>
                <w:rFonts w:hint="eastAsia"/>
                <w:sz w:val="21"/>
                <w:szCs w:val="20"/>
              </w:rPr>
            </w:pPr>
            <w:r>
              <w:rPr>
                <w:rFonts w:hint="eastAsia"/>
                <w:sz w:val="21"/>
                <w:szCs w:val="20"/>
              </w:rPr>
              <w:t>模块11.</w:t>
            </w:r>
            <w:r>
              <w:rPr>
                <w:rFonts w:hint="eastAsia"/>
                <w:sz w:val="21"/>
                <w:szCs w:val="20"/>
                <w:lang w:val="en-US" w:eastAsia="zh-Hans"/>
              </w:rPr>
              <w:t>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（1）</w:t>
            </w:r>
            <w:bookmarkStart w:id="0" w:name="_GoBack"/>
            <w:bookmarkEnd w:id="0"/>
            <w:r>
              <w:rPr>
                <w:rFonts w:hint="eastAsia"/>
                <w:sz w:val="21"/>
                <w:szCs w:val="20"/>
                <w:lang w:val="en-US" w:eastAsia="zh-Hans"/>
              </w:rPr>
              <w:t>目标营销</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eastAsia"/>
                <w:sz w:val="21"/>
                <w:szCs w:val="20"/>
                <w:lang w:val="en-US" w:eastAsia="zh-Hans"/>
              </w:rPr>
              <w:t>目标营销的定义</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（2）</w:t>
            </w:r>
            <w:r>
              <w:rPr>
                <w:rFonts w:hint="eastAsia"/>
                <w:sz w:val="21"/>
                <w:szCs w:val="20"/>
                <w:lang w:val="en-US" w:eastAsia="zh-Hans"/>
              </w:rPr>
              <w:t>市场定位</w:t>
            </w:r>
          </w:p>
        </w:tc>
        <w:tc>
          <w:tcPr>
            <w:tcW w:w="4731" w:type="dxa"/>
            <w:shd w:val="clear" w:color="auto" w:fill="FFFFFF"/>
            <w:tcMar>
              <w:left w:w="105" w:type="dxa"/>
              <w:right w:w="105" w:type="dxa"/>
            </w:tcMar>
            <w:vAlign w:val="center"/>
          </w:tcPr>
          <w:p>
            <w:pPr>
              <w:spacing w:line="360" w:lineRule="auto"/>
              <w:rPr>
                <w:rFonts w:hint="eastAsia"/>
                <w:sz w:val="21"/>
                <w:szCs w:val="20"/>
                <w:lang w:eastAsia="zh-Hans"/>
              </w:rPr>
            </w:pPr>
            <w:r>
              <w:rPr>
                <w:rFonts w:hint="default"/>
                <w:sz w:val="21"/>
                <w:szCs w:val="20"/>
                <w:lang w:eastAsia="zh-Hans"/>
              </w:rPr>
              <w:t>STP</w:t>
            </w:r>
            <w:r>
              <w:rPr>
                <w:rFonts w:hint="eastAsia"/>
                <w:sz w:val="21"/>
                <w:szCs w:val="20"/>
                <w:lang w:val="en-US" w:eastAsia="zh-Hans"/>
              </w:rPr>
              <w:t>理论</w:t>
            </w:r>
            <w:r>
              <w:rPr>
                <w:rFonts w:hint="default"/>
                <w:sz w:val="21"/>
                <w:szCs w:val="20"/>
                <w:lang w:eastAsia="zh-Hans"/>
              </w:rPr>
              <w:t>（</w:t>
            </w:r>
            <w:r>
              <w:rPr>
                <w:rFonts w:hint="eastAsia"/>
                <w:sz w:val="21"/>
                <w:szCs w:val="20"/>
                <w:lang w:val="en-US" w:eastAsia="zh-Hans"/>
              </w:rPr>
              <w:t>细分市场</w:t>
            </w:r>
            <w:r>
              <w:rPr>
                <w:rFonts w:hint="default"/>
                <w:sz w:val="21"/>
                <w:szCs w:val="20"/>
                <w:lang w:eastAsia="zh-Hans"/>
              </w:rPr>
              <w:t>、</w:t>
            </w:r>
            <w:r>
              <w:rPr>
                <w:rFonts w:hint="eastAsia"/>
                <w:sz w:val="21"/>
                <w:szCs w:val="20"/>
                <w:lang w:val="en-US" w:eastAsia="zh-Hans"/>
              </w:rPr>
              <w:t>目标市场选择</w:t>
            </w:r>
            <w:r>
              <w:rPr>
                <w:rFonts w:hint="default"/>
                <w:sz w:val="21"/>
                <w:szCs w:val="20"/>
                <w:lang w:eastAsia="zh-Hans"/>
              </w:rPr>
              <w:t>、</w:t>
            </w:r>
            <w:r>
              <w:rPr>
                <w:rFonts w:hint="eastAsia"/>
                <w:sz w:val="21"/>
                <w:szCs w:val="20"/>
                <w:lang w:val="en-US" w:eastAsia="zh-Hans"/>
              </w:rPr>
              <w:t>目标市场定位</w:t>
            </w:r>
            <w:r>
              <w:rPr>
                <w:rFonts w:hint="default"/>
                <w:sz w:val="21"/>
                <w:szCs w:val="20"/>
                <w:lang w:eastAsia="zh-Hans"/>
              </w:rPr>
              <w:t>）</w:t>
            </w:r>
          </w:p>
        </w:tc>
        <w:tc>
          <w:tcPr>
            <w:tcW w:w="1412" w:type="dxa"/>
            <w:shd w:val="clear" w:color="auto" w:fill="FFFFFF"/>
            <w:tcMar>
              <w:left w:w="105" w:type="dxa"/>
              <w:right w:w="105" w:type="dxa"/>
            </w:tcMar>
            <w:vAlign w:val="center"/>
          </w:tcPr>
          <w:p>
            <w:pPr>
              <w:spacing w:line="360" w:lineRule="auto"/>
              <w:rPr>
                <w:rFonts w:hint="eastAsia"/>
                <w:sz w:val="21"/>
                <w:szCs w:val="20"/>
              </w:rPr>
            </w:pPr>
            <w:r>
              <w:rPr>
                <w:rFonts w:hint="eastAsia"/>
                <w:sz w:val="21"/>
                <w:szCs w:val="20"/>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8516" w:type="dxa"/>
            <w:gridSpan w:val="3"/>
            <w:shd w:val="clear" w:color="auto" w:fill="FFFFFF"/>
            <w:tcMar>
              <w:left w:w="105" w:type="dxa"/>
              <w:right w:w="105" w:type="dxa"/>
            </w:tcMar>
            <w:vAlign w:val="center"/>
          </w:tcPr>
          <w:p>
            <w:pPr>
              <w:spacing w:line="360" w:lineRule="auto"/>
              <w:ind w:firstLine="480"/>
              <w:jc w:val="center"/>
              <w:rPr>
                <w:rFonts w:hint="eastAsia"/>
                <w:sz w:val="21"/>
                <w:szCs w:val="20"/>
              </w:rPr>
            </w:pPr>
            <w:r>
              <w:rPr>
                <w:rFonts w:hint="eastAsia"/>
                <w:sz w:val="21"/>
                <w:szCs w:val="20"/>
              </w:rPr>
              <w:t>模块1</w:t>
            </w:r>
            <w:r>
              <w:rPr>
                <w:rFonts w:hint="default"/>
                <w:sz w:val="21"/>
                <w:szCs w:val="20"/>
              </w:rPr>
              <w:t>2</w:t>
            </w:r>
            <w:r>
              <w:rPr>
                <w:rFonts w:hint="eastAsia"/>
                <w:sz w:val="21"/>
                <w:szCs w:val="20"/>
              </w:rPr>
              <w:t>.</w:t>
            </w:r>
            <w:r>
              <w:rPr>
                <w:rFonts w:hint="default"/>
                <w:sz w:val="21"/>
                <w:szCs w:val="20"/>
              </w:rPr>
              <w:t>4P</w:t>
            </w:r>
            <w:r>
              <w:rPr>
                <w:rFonts w:hint="eastAsia"/>
                <w:sz w:val="21"/>
                <w:szCs w:val="20"/>
                <w:lang w:val="en-US" w:eastAsia="zh-Hans"/>
              </w:rPr>
              <w:t>s营销策略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409"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default"/>
                <w:sz w:val="21"/>
                <w:szCs w:val="20"/>
              </w:rPr>
              <w:t>（1）</w:t>
            </w:r>
            <w:r>
              <w:rPr>
                <w:rFonts w:hint="eastAsia"/>
                <w:sz w:val="21"/>
                <w:szCs w:val="20"/>
                <w:lang w:val="en-US" w:eastAsia="zh-Hans"/>
              </w:rPr>
              <w:t>产品</w:t>
            </w: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产品的概念</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default"/>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产品组合的四个因素</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default"/>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产品组合策略</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default"/>
                <w:sz w:val="21"/>
                <w:szCs w:val="20"/>
              </w:rPr>
              <w:t>（2）</w:t>
            </w:r>
            <w:r>
              <w:rPr>
                <w:rFonts w:hint="eastAsia"/>
                <w:sz w:val="21"/>
                <w:szCs w:val="20"/>
                <w:lang w:val="en-US" w:eastAsia="zh-Hans"/>
              </w:rPr>
              <w:t>定价</w:t>
            </w: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珠宝首饰定价的概念和意义</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default"/>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影响珠宝首饰定价的内部因素和外部因素</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default"/>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营销学定价方法及珠宝首饰定价方法</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eastAsia"/>
                <w:sz w:val="21"/>
                <w:szCs w:val="20"/>
              </w:rPr>
            </w:pPr>
            <w:r>
              <w:rPr>
                <w:rFonts w:hint="default"/>
                <w:sz w:val="21"/>
                <w:szCs w:val="20"/>
              </w:rPr>
              <w:t>（3）</w:t>
            </w:r>
            <w:r>
              <w:rPr>
                <w:rFonts w:hint="eastAsia"/>
                <w:sz w:val="21"/>
                <w:szCs w:val="20"/>
                <w:lang w:val="en-US" w:eastAsia="zh-Hans"/>
              </w:rPr>
              <w:t>渠道</w:t>
            </w: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分销渠道的定义和作用</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default"/>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分销渠道的模式</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default"/>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影响珠宝首饰定价的因素</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default"/>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营销渠道整合</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restart"/>
            <w:shd w:val="clear" w:color="auto" w:fill="FFFFFF"/>
            <w:tcMar>
              <w:left w:w="105" w:type="dxa"/>
              <w:right w:w="105" w:type="dxa"/>
            </w:tcMar>
            <w:vAlign w:val="center"/>
          </w:tcPr>
          <w:p>
            <w:pPr>
              <w:spacing w:line="360" w:lineRule="auto"/>
              <w:rPr>
                <w:rFonts w:hint="default"/>
                <w:sz w:val="21"/>
                <w:szCs w:val="20"/>
              </w:rPr>
            </w:pPr>
            <w:r>
              <w:rPr>
                <w:rFonts w:hint="default"/>
                <w:sz w:val="21"/>
                <w:szCs w:val="20"/>
              </w:rPr>
              <w:t>（4）</w:t>
            </w:r>
            <w:r>
              <w:rPr>
                <w:rFonts w:hint="eastAsia"/>
                <w:sz w:val="21"/>
                <w:szCs w:val="20"/>
                <w:lang w:val="en-US" w:eastAsia="zh-Hans"/>
              </w:rPr>
              <w:t>促销</w:t>
            </w: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促销的定义</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301" w:hRule="atLeast"/>
        </w:trPr>
        <w:tc>
          <w:tcPr>
            <w:tcW w:w="2373" w:type="dxa"/>
            <w:vMerge w:val="continue"/>
            <w:shd w:val="clear" w:color="auto" w:fill="FFFFFF"/>
            <w:tcMar>
              <w:left w:w="105" w:type="dxa"/>
              <w:right w:w="105" w:type="dxa"/>
            </w:tcMar>
            <w:vAlign w:val="center"/>
          </w:tcPr>
          <w:p>
            <w:pPr>
              <w:spacing w:line="360" w:lineRule="auto"/>
              <w:ind w:firstLine="480"/>
              <w:rPr>
                <w:rFonts w:hint="default"/>
                <w:sz w:val="21"/>
                <w:szCs w:val="20"/>
              </w:rPr>
            </w:pPr>
          </w:p>
        </w:tc>
        <w:tc>
          <w:tcPr>
            <w:tcW w:w="4731"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传统与现代促销方式</w:t>
            </w:r>
          </w:p>
        </w:tc>
        <w:tc>
          <w:tcPr>
            <w:tcW w:w="1412" w:type="dxa"/>
            <w:shd w:val="clear" w:color="auto" w:fill="FFFFFF"/>
            <w:tcMar>
              <w:left w:w="105" w:type="dxa"/>
              <w:right w:w="105" w:type="dxa"/>
            </w:tcMar>
            <w:vAlign w:val="center"/>
          </w:tcPr>
          <w:p>
            <w:pPr>
              <w:spacing w:line="360" w:lineRule="auto"/>
              <w:rPr>
                <w:rFonts w:hint="eastAsia"/>
                <w:sz w:val="21"/>
                <w:szCs w:val="20"/>
                <w:lang w:val="en-US" w:eastAsia="zh-Hans"/>
              </w:rPr>
            </w:pPr>
            <w:r>
              <w:rPr>
                <w:rFonts w:hint="eastAsia"/>
                <w:sz w:val="21"/>
                <w:szCs w:val="20"/>
                <w:lang w:val="en-US" w:eastAsia="zh-Hans"/>
              </w:rPr>
              <w:t>理解</w:t>
            </w:r>
          </w:p>
        </w:tc>
      </w:tr>
    </w:tbl>
    <w:p>
      <w:pPr>
        <w:rPr>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微软雅黑">
    <w:altName w:val="汉仪旗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E692E"/>
    <w:multiLevelType w:val="singleLevel"/>
    <w:tmpl w:val="634E69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6E0"/>
    <w:rsid w:val="00197248"/>
    <w:rsid w:val="001E4C45"/>
    <w:rsid w:val="00255B7F"/>
    <w:rsid w:val="00261D0E"/>
    <w:rsid w:val="002C56E0"/>
    <w:rsid w:val="00387AC4"/>
    <w:rsid w:val="0040635A"/>
    <w:rsid w:val="0045274B"/>
    <w:rsid w:val="004A2E68"/>
    <w:rsid w:val="004E6952"/>
    <w:rsid w:val="005C059E"/>
    <w:rsid w:val="006A723F"/>
    <w:rsid w:val="007949E0"/>
    <w:rsid w:val="008468E7"/>
    <w:rsid w:val="008C0027"/>
    <w:rsid w:val="009A4B2D"/>
    <w:rsid w:val="00A011F0"/>
    <w:rsid w:val="00BC33E0"/>
    <w:rsid w:val="00D02349"/>
    <w:rsid w:val="00D50E58"/>
    <w:rsid w:val="00D54124"/>
    <w:rsid w:val="00DF4D62"/>
    <w:rsid w:val="00E43E3D"/>
    <w:rsid w:val="00E477B4"/>
    <w:rsid w:val="57FED69D"/>
    <w:rsid w:val="FF3F4356"/>
    <w:rsid w:val="FF753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spacing w:beforeAutospacing="1" w:afterAutospacing="1"/>
      <w:jc w:val="left"/>
    </w:pPr>
    <w:rPr>
      <w:rFonts w:cs="Times New Roman"/>
      <w:kern w:val="0"/>
      <w:sz w:val="24"/>
      <w:szCs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150</Words>
  <Characters>856</Characters>
  <Lines>7</Lines>
  <Paragraphs>2</Paragraphs>
  <TotalTime>0</TotalTime>
  <ScaleCrop>false</ScaleCrop>
  <LinksUpToDate>false</LinksUpToDate>
  <CharactersWithSpaces>1004</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2019-03-25T16:36:00Z</dcterms:created>
  <dc:creator>Administrator</dc:creator>
  <cp:lastModifiedBy>lulululu</cp:lastModifiedBy>
  <dcterms:modified xsi:type="dcterms:W3CDTF">2022-10-18T15:12:12Z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